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028F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       Załącznik Nr 1 do Zaproszenia – Opis Przedmiotu Zamówienia</w:t>
      </w:r>
    </w:p>
    <w:p w14:paraId="09EFDA3B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 xml:space="preserve">  AT.Z.2150.34.1.2024</w:t>
      </w:r>
    </w:p>
    <w:p w14:paraId="5193B857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B13B035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Nazwa zadania: „Dostawa substancji chemicznych dla Samodzielnego Publicznego Szpitala Wojewódzkiego im. Papieża Jana Pawła II w Zamościu”.</w:t>
      </w:r>
    </w:p>
    <w:p w14:paraId="2D5BA97C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081D7C9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03FF66A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OPIS PRZEDMIOTU ZAMÓWIENIA</w:t>
      </w:r>
    </w:p>
    <w:p w14:paraId="30DD036C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9D90195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1 – Kwas solny</w:t>
      </w:r>
    </w:p>
    <w:tbl>
      <w:tblPr>
        <w:tblStyle w:val="TableNormal"/>
        <w:tblW w:w="93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5302"/>
        <w:gridCol w:w="3123"/>
      </w:tblGrid>
      <w:tr w:rsidR="00D94D05" w:rsidRPr="00D94D05" w14:paraId="7CF42942" w14:textId="77777777" w:rsidTr="00D9049E">
        <w:trPr>
          <w:trHeight w:val="265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6D9A" w14:textId="77777777" w:rsidR="00D94D05" w:rsidRPr="00D94D05" w:rsidRDefault="00D94D05" w:rsidP="00D94D05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5075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KWAS SOLNY 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spożywczy o stężeniu ok.33%, ciecz bezbarwna do  jasnożółtej, przeźroczysta, o zawartości  innych substancji śladowych: </w:t>
            </w:r>
          </w:p>
          <w:p w14:paraId="129E9C75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żelazo (Fe) max.5mg/kg, chlor wolny max.5mg/kg, </w:t>
            </w:r>
          </w:p>
          <w:p w14:paraId="69E4E308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SO 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vertAlign w:val="subscript"/>
              </w:rPr>
              <w:t>4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vertAlign w:val="superscript"/>
              </w:rPr>
              <w:t xml:space="preserve">2- 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max.90mg/kg; arsen max.0,05mg/kg, metale ciężkie jako Pb²+ max.5mg/kg;</w:t>
            </w:r>
          </w:p>
          <w:p w14:paraId="0CE6A265" w14:textId="77777777" w:rsidR="00D94D05" w:rsidRPr="00D94D05" w:rsidRDefault="00D94D05" w:rsidP="00D94D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- dostawy w pojemnikach ok.30-litrowych z PE-HD po ok.30kg   w pojemniku (pojemniki puste są zabierane przez Dostawcę przy kolejnej dostawie).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B32B" w14:textId="77777777" w:rsidR="00D94D05" w:rsidRPr="00D94D05" w:rsidRDefault="00D94D05" w:rsidP="00D94D05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5B162E1E" w14:textId="77777777" w:rsidR="00D94D05" w:rsidRPr="00D94D05" w:rsidRDefault="00D94D05" w:rsidP="00D94D05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6.500kg</w:t>
            </w:r>
          </w:p>
        </w:tc>
      </w:tr>
    </w:tbl>
    <w:p w14:paraId="3DDFCC8D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DB71590" w14:textId="77777777" w:rsidR="00D94D05" w:rsidRPr="00D94D05" w:rsidRDefault="00D94D05" w:rsidP="00D94D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3C31513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2 – Wodorotlenek sodu</w:t>
      </w:r>
    </w:p>
    <w:tbl>
      <w:tblPr>
        <w:tblStyle w:val="TableNormal"/>
        <w:tblW w:w="9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1"/>
        <w:gridCol w:w="5594"/>
        <w:gridCol w:w="3261"/>
      </w:tblGrid>
      <w:tr w:rsidR="00D94D05" w:rsidRPr="00D94D05" w14:paraId="56F3D187" w14:textId="77777777" w:rsidTr="00D9049E">
        <w:trPr>
          <w:trHeight w:val="265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329F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EADB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WODOROTLENEK SODU  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o stężeniu ok.30%, ciecz bezbarwna, klarowna, o zawartości innych substancji śladowych:</w:t>
            </w:r>
          </w:p>
          <w:p w14:paraId="2284BF62" w14:textId="77777777" w:rsidR="00D94D05" w:rsidRPr="00D94D05" w:rsidRDefault="00D94D05" w:rsidP="00D94D05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chlorek sodu NaCl (%) (m/m)&lt;=0,05; węglan sodu Na2CO3(%) (m/m)&lt;=0,2; żelazo jako   Fe2O3 (mg/kg)&lt;=20</w:t>
            </w:r>
          </w:p>
          <w:p w14:paraId="59AED4B0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-  dostawy w pojemnikach ok.30-litrowych z PE-HD po ok.30kg  w pojemniku (pojemniki  puste są  zabierane przez Dostawcę przy kolejnej dostawie).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45B9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74D97F41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2.500kg</w:t>
            </w:r>
          </w:p>
        </w:tc>
      </w:tr>
    </w:tbl>
    <w:p w14:paraId="62BA1E0E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91FDC26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64D6835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3 – Podchloryn sodu</w:t>
      </w:r>
    </w:p>
    <w:tbl>
      <w:tblPr>
        <w:tblStyle w:val="TableNormal"/>
        <w:tblW w:w="93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5302"/>
        <w:gridCol w:w="3123"/>
      </w:tblGrid>
      <w:tr w:rsidR="00D94D05" w:rsidRPr="00D94D05" w14:paraId="4F19C2C8" w14:textId="77777777" w:rsidTr="00D9049E">
        <w:trPr>
          <w:trHeight w:val="355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A142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18F3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PODCHLORYN SODOWY  </w:t>
            </w:r>
            <w:proofErr w:type="spellStart"/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>NaOCl</w:t>
            </w:r>
            <w:proofErr w:type="spellEnd"/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w postaci klarownej</w:t>
            </w: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cieczy o barwie żółtej, o zawartości chloru aktywnego &gt;=150g/dm3,  liczbie stabilności procentowej w okresie zimowym &gt;=80%,  liczbie stabilności procentowej w okresie letnim &gt;=70%, o trwałości min.30dni w okresie letnim i min.60 dni w okresie zimowym,</w:t>
            </w:r>
          </w:p>
          <w:p w14:paraId="5CBFF00D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-  dostawy w pojemnikach ok.30-litrowych z PE-HD po ok.25kg w pojemniku (pojemniki   puste zabierane przez Dostawcę przy kolejnej dostawie)</w:t>
            </w:r>
          </w:p>
          <w:p w14:paraId="4A691164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-pojedyncze dostawy realizowane w ilości ok.2 pojemników po 25kg średnio 1x w miesiącu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0E08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44A0278A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800kg</w:t>
            </w:r>
          </w:p>
        </w:tc>
      </w:tr>
    </w:tbl>
    <w:p w14:paraId="5CA15D3F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5831DD8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21CA6CA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4 – Sól tabletkowana</w:t>
      </w:r>
    </w:p>
    <w:tbl>
      <w:tblPr>
        <w:tblStyle w:val="TableNormal"/>
        <w:tblW w:w="93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5302"/>
        <w:gridCol w:w="3123"/>
      </w:tblGrid>
      <w:tr w:rsidR="00D94D05" w:rsidRPr="00D94D05" w14:paraId="63475CBE" w14:textId="77777777" w:rsidTr="00D9049E">
        <w:trPr>
          <w:trHeight w:val="355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3328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399D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SÓL TABLETKOWANA  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produkowana z soli warzonej o wymaganiach zgodnie z PN-EN 973:2009 oraz o następujących parametrach fizykochemicznych: </w:t>
            </w:r>
          </w:p>
          <w:p w14:paraId="5058E95E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- tabletki okrągłe barwy białej, bez obcych zanieczyszczeń, bez obcego zapachu, bez oznak szlamowania podczas rozpuszczania w wodzie;  chlorek sodu min.99,9%, antyzbrylacz (E536) max.3mg/kg, arsen max.0,3mg/kg, kadm max. 0,75mg/kg, rtęć max.0,26mg/kg, chrom max.0,75mg/kg, ołów max.3,5mg/kg, antymon max.2,6mg/kg, selen max.2,6mg/kg, substancje nierozpuszczalne w H2O max.0,05%.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90DD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03AB722A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28.000kg</w:t>
            </w:r>
          </w:p>
        </w:tc>
      </w:tr>
    </w:tbl>
    <w:p w14:paraId="43BDDAA9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57A65FA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3A706D5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Zadanie nr 5- </w:t>
      </w:r>
      <w:proofErr w:type="spellStart"/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Magnodol</w:t>
      </w:r>
      <w:proofErr w:type="spellEnd"/>
    </w:p>
    <w:tbl>
      <w:tblPr>
        <w:tblStyle w:val="TableNormal"/>
        <w:tblW w:w="93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5302"/>
        <w:gridCol w:w="3123"/>
      </w:tblGrid>
      <w:tr w:rsidR="00D94D05" w:rsidRPr="00D94D05" w14:paraId="0DE04C69" w14:textId="77777777" w:rsidTr="00D9049E">
        <w:trPr>
          <w:trHeight w:val="85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D924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2A05" w14:textId="77777777" w:rsidR="00D94D05" w:rsidRPr="00D94D05" w:rsidRDefault="00D94D05" w:rsidP="00D94D05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MAGNODOL – 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dolomitowy materiał filtracyjny do neutralizacji ścieków kwaśnych</w:t>
            </w: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14:paraId="2F98E9E5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B522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119EA302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700kg</w:t>
            </w:r>
          </w:p>
        </w:tc>
      </w:tr>
    </w:tbl>
    <w:p w14:paraId="70E012F6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F4457C2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BE798FF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Zadanie nr 6 – Nadtlenek wodoru 12% </w:t>
      </w:r>
      <w:proofErr w:type="spellStart"/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CzDA</w:t>
      </w:r>
      <w:proofErr w:type="spellEnd"/>
    </w:p>
    <w:tbl>
      <w:tblPr>
        <w:tblStyle w:val="TableNormal"/>
        <w:tblW w:w="93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5302"/>
        <w:gridCol w:w="3123"/>
      </w:tblGrid>
      <w:tr w:rsidR="00D94D05" w:rsidRPr="00D94D05" w14:paraId="426764EA" w14:textId="77777777" w:rsidTr="00D9049E">
        <w:trPr>
          <w:trHeight w:val="85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6193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36AC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Nadtlenek wodoru 12% </w:t>
            </w:r>
            <w:proofErr w:type="spellStart"/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>Cz.D.A</w:t>
            </w:r>
            <w:proofErr w:type="spellEnd"/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(Perhydrol)  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- czysty do analiz- ciecz bezbarwna, bezwonna, opakowania 1L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1809" w14:textId="77777777" w:rsidR="00D94D05" w:rsidRPr="00D94D05" w:rsidRDefault="00D94D05" w:rsidP="00D94D05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16B1E9EA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220L</w:t>
            </w:r>
          </w:p>
        </w:tc>
      </w:tr>
    </w:tbl>
    <w:p w14:paraId="1397339C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AA3AFE8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4A00EA7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7 – Alkohol izopropylowy 99%</w:t>
      </w:r>
    </w:p>
    <w:tbl>
      <w:tblPr>
        <w:tblStyle w:val="TableNormal"/>
        <w:tblW w:w="93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5302"/>
        <w:gridCol w:w="3123"/>
      </w:tblGrid>
      <w:tr w:rsidR="00D94D05" w:rsidRPr="00D94D05" w14:paraId="425463A2" w14:textId="77777777" w:rsidTr="00D9049E">
        <w:trPr>
          <w:trHeight w:val="85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FF6C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BB82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>Alkohol izopropylowy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>99%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-  </w:t>
            </w:r>
            <w:proofErr w:type="spellStart"/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prefesjonalny</w:t>
            </w:r>
            <w:proofErr w:type="spellEnd"/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środek chemiczny z grupy alkoholi organicznych, ciecz bezbarwna, bezwonna, opakowania 0,5L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4C01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6D3FC423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20L</w:t>
            </w:r>
          </w:p>
        </w:tc>
      </w:tr>
    </w:tbl>
    <w:p w14:paraId="3A7F0D80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735C490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4C292B8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8 – Preparat do dezynfekcji i odkamieniania urządzeń do hemodializ</w:t>
      </w:r>
    </w:p>
    <w:tbl>
      <w:tblPr>
        <w:tblStyle w:val="TableNormal"/>
        <w:tblW w:w="93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5302"/>
        <w:gridCol w:w="3123"/>
      </w:tblGrid>
      <w:tr w:rsidR="00D94D05" w:rsidRPr="00D94D05" w14:paraId="2FD8E076" w14:textId="77777777" w:rsidTr="00D9049E">
        <w:trPr>
          <w:trHeight w:val="325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5E7B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i/>
                <w:iCs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7304" w14:textId="77777777" w:rsidR="00D94D05" w:rsidRPr="00D94D05" w:rsidRDefault="00D94D05" w:rsidP="00D94D05">
            <w:pPr>
              <w:widowControl w:val="0"/>
              <w:suppressAutoHyphens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>Preparat do dezynfekcji i odkamieniania urządzeń</w:t>
            </w: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– wysoce skuteczny preparat dezynfekcyjno-</w:t>
            </w:r>
            <w:proofErr w:type="spellStart"/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odkamieniający</w:t>
            </w:r>
            <w:proofErr w:type="spellEnd"/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do dezynfekcji i odkamieniania urządzeń do hemodializ oraz stacji uzdatniania wody; w formie bezbarwnej cieczy, o działaniu bakteriobójczym, </w:t>
            </w:r>
            <w:proofErr w:type="spellStart"/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drożdżakobójczym</w:t>
            </w:r>
            <w:proofErr w:type="spellEnd"/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, grzybobójczym, </w:t>
            </w:r>
            <w:proofErr w:type="spellStart"/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prądkobójczym</w:t>
            </w:r>
            <w:proofErr w:type="spellEnd"/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 xml:space="preserve"> oraz wirusobójczym wobec adenowirusa i wirusa polio; o minimalnym składzie: 100g cieczy ma zawierać 1g kwasu nadoctowego oraz 7g nadtlenku wodoru, produkt gotowy do użycia, opakowania po 5L (kanister)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5497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1D6B1387" w14:textId="77777777" w:rsidR="00D94D05" w:rsidRPr="00D94D05" w:rsidRDefault="00D94D05" w:rsidP="00D94D05">
            <w:pPr>
              <w:widowControl w:val="0"/>
              <w:suppressAutoHyphens/>
              <w:jc w:val="center"/>
              <w:rPr>
                <w:rFonts w:ascii="Courier New" w:hAnsi="Courier New" w:cs="Arial Unicode MS"/>
                <w:color w:val="000000"/>
                <w:sz w:val="24"/>
                <w:szCs w:val="24"/>
                <w:u w:color="000000"/>
              </w:rPr>
            </w:pPr>
            <w:r w:rsidRPr="00D94D05"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  <w:t>120L</w:t>
            </w:r>
          </w:p>
        </w:tc>
      </w:tr>
    </w:tbl>
    <w:p w14:paraId="211DF728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59F757A" w14:textId="77777777" w:rsidR="00D94D05" w:rsidRPr="00D94D05" w:rsidRDefault="00D94D05" w:rsidP="00D94D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16A88C9" w14:textId="77777777" w:rsidR="00D94D05" w:rsidRPr="00D94D05" w:rsidRDefault="00D94D05" w:rsidP="00D94D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color w:val="000000"/>
          <w:kern w:val="0"/>
          <w:u w:color="000000"/>
          <w:bdr w:val="nil"/>
          <w:lang w:eastAsia="pl-PL"/>
          <w14:ligatures w14:val="none"/>
        </w:rPr>
        <w:t>W trakcie trwania umowy Dostawca musi dostarczyć nową kartę charakterystyki                                       w przypadku jej aktualizacji – dot. wszystkich zadań.</w:t>
      </w:r>
    </w:p>
    <w:p w14:paraId="0F0E5B18" w14:textId="77777777" w:rsidR="00D94D05" w:rsidRPr="00D94D05" w:rsidRDefault="00D94D05" w:rsidP="00D94D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color w:val="000000"/>
          <w:kern w:val="0"/>
          <w:u w:color="000000"/>
          <w:bdr w:val="nil"/>
          <w:lang w:eastAsia="pl-PL"/>
          <w14:ligatures w14:val="none"/>
        </w:rPr>
        <w:t>Wymagany dla Zadań 1-4 atesty higieniczne PZH na ich stosowanie do uzdatniania wody do celów spożywczych muszą posiadać datę ważności  obejmującą minimum okresu obowiązywania umowy. W przypadku, gdy ważność atestu higienicznego PZH upływa przed datą zakończenia umowy – Wykonawca zobowiązany jest do przedłożenia nowego ważnego dokumentu.</w:t>
      </w:r>
    </w:p>
    <w:p w14:paraId="34C9538E" w14:textId="77777777" w:rsidR="00D94D05" w:rsidRPr="00D94D05" w:rsidRDefault="00D94D05" w:rsidP="00D94D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u w:color="000000"/>
          <w:bdr w:val="nil"/>
          <w:lang w:eastAsia="pl-PL"/>
          <w14:ligatures w14:val="none"/>
        </w:rPr>
      </w:pPr>
      <w:r w:rsidRPr="00D94D05">
        <w:rPr>
          <w:rFonts w:ascii="Times New Roman" w:eastAsia="Arial Unicode MS" w:hAnsi="Times New Roman" w:cs="Arial Unicode MS"/>
          <w:color w:val="000000"/>
          <w:kern w:val="0"/>
          <w:u w:color="000000"/>
          <w:bdr w:val="nil"/>
          <w:lang w:eastAsia="pl-PL"/>
          <w14:ligatures w14:val="none"/>
        </w:rPr>
        <w:t>Etykiety na opakowaniach z dostarczonymi chemikaliami i podchlorynem sodu muszą spełniać wymagania Rozporządzenia CLP 1272/2008 oraz dodatkowo zawierać datę produkcji oraz termin ważności dla dostarczonej substancji/produktu.</w:t>
      </w:r>
    </w:p>
    <w:p w14:paraId="751EEE30" w14:textId="77777777" w:rsidR="004B15C2" w:rsidRDefault="004B15C2"/>
    <w:sectPr w:rsidR="004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DB2"/>
    <w:multiLevelType w:val="hybridMultilevel"/>
    <w:tmpl w:val="D82E0354"/>
    <w:styleLink w:val="Zaimportowanystyl10"/>
    <w:lvl w:ilvl="0" w:tplc="00C025E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ACEE4">
      <w:start w:val="1"/>
      <w:numFmt w:val="lowerLetter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4654">
      <w:start w:val="1"/>
      <w:numFmt w:val="lowerRoman"/>
      <w:lvlText w:val="%3."/>
      <w:lvlJc w:val="left"/>
      <w:pPr>
        <w:tabs>
          <w:tab w:val="num" w:pos="2102"/>
        </w:tabs>
        <w:ind w:left="211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825E0">
      <w:start w:val="1"/>
      <w:numFmt w:val="decimal"/>
      <w:lvlText w:val="%4."/>
      <w:lvlJc w:val="left"/>
      <w:pPr>
        <w:tabs>
          <w:tab w:val="num" w:pos="2806"/>
        </w:tabs>
        <w:ind w:left="281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28234">
      <w:start w:val="1"/>
      <w:numFmt w:val="lowerLetter"/>
      <w:lvlText w:val="%5."/>
      <w:lvlJc w:val="left"/>
      <w:pPr>
        <w:tabs>
          <w:tab w:val="num" w:pos="3515"/>
        </w:tabs>
        <w:ind w:left="352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4C9D8">
      <w:start w:val="1"/>
      <w:numFmt w:val="lowerRoman"/>
      <w:lvlText w:val="%6."/>
      <w:lvlJc w:val="left"/>
      <w:pPr>
        <w:tabs>
          <w:tab w:val="num" w:pos="4229"/>
        </w:tabs>
        <w:ind w:left="42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4C20E">
      <w:start w:val="1"/>
      <w:numFmt w:val="decimal"/>
      <w:lvlText w:val="%7."/>
      <w:lvlJc w:val="left"/>
      <w:pPr>
        <w:tabs>
          <w:tab w:val="num" w:pos="4933"/>
        </w:tabs>
        <w:ind w:left="494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C6C0F6">
      <w:start w:val="1"/>
      <w:numFmt w:val="lowerLetter"/>
      <w:lvlText w:val="%8."/>
      <w:lvlJc w:val="left"/>
      <w:pPr>
        <w:tabs>
          <w:tab w:val="num" w:pos="5642"/>
        </w:tabs>
        <w:ind w:left="56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46C8C">
      <w:start w:val="1"/>
      <w:numFmt w:val="lowerRoman"/>
      <w:lvlText w:val="%9."/>
      <w:lvlJc w:val="left"/>
      <w:pPr>
        <w:tabs>
          <w:tab w:val="num" w:pos="6356"/>
        </w:tabs>
        <w:ind w:left="6368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DF069C"/>
    <w:multiLevelType w:val="hybridMultilevel"/>
    <w:tmpl w:val="D82E0354"/>
    <w:numStyleLink w:val="Zaimportowanystyl10"/>
  </w:abstractNum>
  <w:num w:numId="1" w16cid:durableId="278075020">
    <w:abstractNumId w:val="0"/>
  </w:num>
  <w:num w:numId="2" w16cid:durableId="142036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05"/>
    <w:rsid w:val="004B15C2"/>
    <w:rsid w:val="00D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D431"/>
  <w15:chartTrackingRefBased/>
  <w15:docId w15:val="{73791E12-52FA-48A0-B579-BB1B3715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94D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">
    <w:name w:val="Zaimportowany styl 10"/>
    <w:rsid w:val="00D94D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2024-01-10T09:22:00Z</dcterms:created>
  <dcterms:modified xsi:type="dcterms:W3CDTF">2024-01-10T09:23:00Z</dcterms:modified>
</cp:coreProperties>
</file>