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ab/>
        <w:t xml:space="preserve">  </w:t>
        <w:tab/>
        <w:tab/>
        <w:tab/>
        <w:tab/>
        <w:tab/>
        <w:tab/>
        <w:tab/>
        <w:tab/>
        <w:tab/>
        <w:tab/>
        <w:tab/>
      </w:r>
      <w:r>
        <w:rPr>
          <w:i/>
          <w:iCs/>
          <w:sz w:val="24"/>
          <w:szCs w:val="24"/>
        </w:rPr>
        <w:t>Załącznik nr 1 do zaprosenia AT.R.334. 18  .</w:t>
      </w:r>
      <w:r>
        <w:rPr>
          <w:i/>
          <w:iCs/>
          <w:sz w:val="24"/>
          <w:szCs w:val="24"/>
        </w:rPr>
        <w:t>2.</w:t>
      </w:r>
      <w:r>
        <w:rPr>
          <w:i/>
          <w:iCs/>
          <w:sz w:val="24"/>
          <w:szCs w:val="24"/>
        </w:rPr>
        <w:t>2023</w:t>
      </w:r>
    </w:p>
    <w:p>
      <w:pPr>
        <w:pStyle w:val="Normal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  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8"/>
          <w:szCs w:val="28"/>
        </w:rPr>
        <w:tab/>
        <w:tab/>
        <w:tab/>
        <w:tab/>
        <w:tab/>
        <w:tab/>
        <w:t xml:space="preserve">    </w:t>
      </w:r>
      <w:r>
        <w:rPr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 xml:space="preserve">  OPIS PRZEDMIOTU ZAMÓWIENIA</w:t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Lampa czołowa do zabiegów neurochirurgicznych</w:t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tbl>
      <w:tblPr>
        <w:tblStyle w:val="Tabela-Siatka"/>
        <w:tblW w:w="1416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29"/>
        <w:gridCol w:w="7370"/>
        <w:gridCol w:w="2125"/>
        <w:gridCol w:w="3541"/>
      </w:tblGrid>
      <w:tr>
        <w:trPr/>
        <w:tc>
          <w:tcPr>
            <w:tcW w:w="112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pl-PL" w:bidi="ar-SA"/>
              </w:rPr>
              <w:t>Lp.</w:t>
            </w:r>
          </w:p>
        </w:tc>
        <w:tc>
          <w:tcPr>
            <w:tcW w:w="737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kern w:val="0"/>
                <w:sz w:val="24"/>
                <w:szCs w:val="24"/>
                <w:lang w:val="pl-PL" w:bidi="ar-SA"/>
              </w:rPr>
              <w:t>PARAMETR / WARUNEK</w:t>
            </w:r>
          </w:p>
        </w:tc>
        <w:tc>
          <w:tcPr>
            <w:tcW w:w="212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kern w:val="0"/>
                <w:sz w:val="24"/>
                <w:szCs w:val="24"/>
                <w:lang w:val="pl-PL" w:bidi="ar-SA"/>
              </w:rPr>
              <w:t>WARTOŚĆ WYMAGANA</w:t>
            </w:r>
          </w:p>
        </w:tc>
        <w:tc>
          <w:tcPr>
            <w:tcW w:w="354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kern w:val="0"/>
                <w:sz w:val="24"/>
                <w:szCs w:val="24"/>
                <w:lang w:val="pl-PL" w:bidi="ar-SA"/>
              </w:rPr>
              <w:t>WARTOŚĆ OFEROWANA</w:t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370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bidi="ar-SA"/>
              </w:rPr>
              <w:t>Lampa czołowa do zabiegów neurochirurgicznych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bidi="ar-SA"/>
              </w:rPr>
              <w:t>Lampa fabrycznie nowa,  rok produkcji min. 2022 r.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bidi="ar-SA"/>
              </w:rPr>
              <w:t>Producent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bidi="ar-SA"/>
              </w:rPr>
              <w:t>Model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bidi="ar-SA"/>
              </w:rPr>
              <w:t>Kraj pochodzenia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  <w:lang w:eastAsia="en-US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TAK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podać</w:t>
            </w:r>
          </w:p>
        </w:tc>
        <w:tc>
          <w:tcPr>
            <w:tcW w:w="35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3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pl-PL" w:bidi="ar-SA"/>
              </w:rPr>
              <w:t>Lampa czołowa z opaską i ze szklaną optyką, zasilana z baterii i/lub z sieci prądu zmiennego/stałego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spacing w:val="-2"/>
                <w:kern w:val="0"/>
                <w:sz w:val="24"/>
                <w:szCs w:val="24"/>
                <w:lang w:val="pl-PL" w:eastAsia="en-US" w:bidi="ar-SA"/>
              </w:rPr>
              <w:t>T</w:t>
            </w:r>
            <w:r>
              <w:rPr>
                <w:rFonts w:cs="Calibri" w:cstheme="minorHAnsi"/>
                <w:spacing w:val="2"/>
                <w:kern w:val="0"/>
                <w:sz w:val="24"/>
                <w:szCs w:val="24"/>
                <w:lang w:val="pl-PL" w:eastAsia="en-US" w:bidi="ar-SA"/>
              </w:rPr>
              <w:t>A</w:t>
            </w: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K</w:t>
            </w:r>
          </w:p>
        </w:tc>
        <w:tc>
          <w:tcPr>
            <w:tcW w:w="35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3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pl-PL" w:bidi="ar-SA"/>
              </w:rPr>
              <w:t xml:space="preserve">Źródło światła umieszczone w opasce i wyposażone w regulację natężenia światła 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spacing w:val="-2"/>
                <w:kern w:val="0"/>
                <w:sz w:val="24"/>
                <w:szCs w:val="24"/>
                <w:lang w:val="pl-PL" w:eastAsia="en-US" w:bidi="ar-SA"/>
              </w:rPr>
              <w:t>T</w:t>
            </w:r>
            <w:r>
              <w:rPr>
                <w:rFonts w:cs="Calibri" w:cstheme="minorHAnsi"/>
                <w:spacing w:val="2"/>
                <w:kern w:val="0"/>
                <w:sz w:val="24"/>
                <w:szCs w:val="24"/>
                <w:lang w:val="pl-PL" w:eastAsia="en-US" w:bidi="ar-SA"/>
              </w:rPr>
              <w:t>A</w:t>
            </w: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K</w:t>
            </w:r>
          </w:p>
        </w:tc>
        <w:tc>
          <w:tcPr>
            <w:tcW w:w="35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3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pl-PL" w:bidi="ar-SA"/>
              </w:rPr>
              <w:t>Źródło światła wyposażone w diody LED o żywotności minimum 48 000 godzin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  <w:lang w:eastAsia="en-US"/>
              </w:rPr>
            </w:pPr>
            <w:r>
              <w:rPr>
                <w:rFonts w:cs="Calibri" w:cstheme="minorHAnsi"/>
                <w:spacing w:val="-2"/>
                <w:kern w:val="0"/>
                <w:sz w:val="24"/>
                <w:szCs w:val="24"/>
                <w:lang w:val="pl-PL" w:eastAsia="en-US" w:bidi="ar-SA"/>
              </w:rPr>
              <w:t>T</w:t>
            </w:r>
            <w:r>
              <w:rPr>
                <w:rFonts w:cs="Calibri" w:cstheme="minorHAnsi"/>
                <w:spacing w:val="2"/>
                <w:kern w:val="0"/>
                <w:sz w:val="24"/>
                <w:szCs w:val="24"/>
                <w:lang w:val="pl-PL" w:eastAsia="en-US" w:bidi="ar-SA"/>
              </w:rPr>
              <w:t>A</w:t>
            </w: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K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bidi="ar-SA"/>
              </w:rPr>
              <w:t>podać</w:t>
            </w:r>
          </w:p>
        </w:tc>
        <w:tc>
          <w:tcPr>
            <w:tcW w:w="35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494" w:hRule="atLeast"/>
        </w:trPr>
        <w:tc>
          <w:tcPr>
            <w:tcW w:w="112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3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pl-PL" w:bidi="ar-SA"/>
              </w:rPr>
              <w:t>Jasność światła minimum 590 lumen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553" w:right="538" w:hanging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  <w:lang w:eastAsia="en-US"/>
              </w:rPr>
            </w:pPr>
            <w:r>
              <w:rPr>
                <w:rFonts w:cs="Calibri" w:cstheme="minorHAnsi"/>
                <w:spacing w:val="-2"/>
                <w:kern w:val="0"/>
                <w:sz w:val="24"/>
                <w:szCs w:val="24"/>
                <w:lang w:val="pl-PL" w:eastAsia="en-US" w:bidi="ar-SA"/>
              </w:rPr>
              <w:t>T</w:t>
            </w:r>
            <w:r>
              <w:rPr>
                <w:rFonts w:cs="Calibri" w:cstheme="minorHAnsi"/>
                <w:spacing w:val="2"/>
                <w:kern w:val="0"/>
                <w:sz w:val="24"/>
                <w:szCs w:val="24"/>
                <w:lang w:val="pl-PL" w:eastAsia="en-US" w:bidi="ar-SA"/>
              </w:rPr>
              <w:t>A</w:t>
            </w: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K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podać</w:t>
            </w:r>
          </w:p>
        </w:tc>
        <w:tc>
          <w:tcPr>
            <w:tcW w:w="35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3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pl-PL" w:bidi="ar-SA"/>
              </w:rPr>
              <w:t>Natężenie światła minimum 64000 lux  w odległości 40 cm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553" w:right="538" w:hanging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  <w:lang w:eastAsia="en-US"/>
              </w:rPr>
            </w:pPr>
            <w:r>
              <w:rPr>
                <w:rFonts w:cs="Calibri" w:cstheme="minorHAnsi"/>
                <w:spacing w:val="-2"/>
                <w:kern w:val="0"/>
                <w:sz w:val="24"/>
                <w:szCs w:val="24"/>
                <w:lang w:val="pl-PL" w:eastAsia="en-US" w:bidi="ar-SA"/>
              </w:rPr>
              <w:t>T</w:t>
            </w:r>
            <w:r>
              <w:rPr>
                <w:rFonts w:cs="Calibri" w:cstheme="minorHAnsi"/>
                <w:spacing w:val="2"/>
                <w:kern w:val="0"/>
                <w:sz w:val="24"/>
                <w:szCs w:val="24"/>
                <w:lang w:val="pl-PL" w:eastAsia="en-US" w:bidi="ar-SA"/>
              </w:rPr>
              <w:t>A</w:t>
            </w: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K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podać</w:t>
            </w:r>
          </w:p>
        </w:tc>
        <w:tc>
          <w:tcPr>
            <w:tcW w:w="35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3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pl-PL" w:bidi="ar-SA"/>
              </w:rPr>
              <w:t>Światło białe, temperatura barwowa min. 5900 K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  <w:lang w:eastAsia="en-US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TAK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bidi="ar-SA"/>
              </w:rPr>
              <w:t>podać</w:t>
            </w:r>
          </w:p>
        </w:tc>
        <w:tc>
          <w:tcPr>
            <w:tcW w:w="35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3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pl-PL" w:bidi="ar-SA"/>
              </w:rPr>
              <w:t>Wymagany współczynnik CRI – wskaźnik oddawania barw powyżej 77%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spacing w:val="-2"/>
                <w:kern w:val="0"/>
                <w:sz w:val="24"/>
                <w:szCs w:val="24"/>
                <w:lang w:val="pl-PL" w:eastAsia="en-US" w:bidi="ar-SA"/>
              </w:rPr>
              <w:t>T</w:t>
            </w:r>
            <w:r>
              <w:rPr>
                <w:rFonts w:cs="Calibri" w:cstheme="minorHAnsi"/>
                <w:spacing w:val="2"/>
                <w:kern w:val="0"/>
                <w:sz w:val="24"/>
                <w:szCs w:val="24"/>
                <w:lang w:val="pl-PL" w:eastAsia="en-US" w:bidi="ar-SA"/>
              </w:rPr>
              <w:t>A</w:t>
            </w: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K</w:t>
            </w:r>
          </w:p>
        </w:tc>
        <w:tc>
          <w:tcPr>
            <w:tcW w:w="35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3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pl-PL" w:bidi="ar-SA"/>
              </w:rPr>
              <w:t>Regulowana średnica oświetlonego pola.</w:t>
              <w:br/>
              <w:t>Zakres regulacji średnicy pola min. 42 - max.127 mm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  <w:lang w:eastAsia="en-US"/>
              </w:rPr>
            </w:pPr>
            <w:r>
              <w:rPr>
                <w:rFonts w:cs="Calibri" w:cstheme="minorHAnsi"/>
                <w:spacing w:val="-2"/>
                <w:kern w:val="0"/>
                <w:sz w:val="24"/>
                <w:szCs w:val="24"/>
                <w:lang w:val="pl-PL" w:eastAsia="en-US" w:bidi="ar-SA"/>
              </w:rPr>
              <w:t>T</w:t>
            </w:r>
            <w:r>
              <w:rPr>
                <w:rFonts w:cs="Calibri" w:cstheme="minorHAnsi"/>
                <w:spacing w:val="2"/>
                <w:kern w:val="0"/>
                <w:sz w:val="24"/>
                <w:szCs w:val="24"/>
                <w:lang w:val="pl-PL" w:eastAsia="en-US" w:bidi="ar-SA"/>
              </w:rPr>
              <w:t>A</w:t>
            </w: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K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bidi="ar-SA"/>
              </w:rPr>
              <w:t>podać</w:t>
            </w:r>
          </w:p>
        </w:tc>
        <w:tc>
          <w:tcPr>
            <w:tcW w:w="35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3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pl-PL" w:bidi="ar-SA"/>
              </w:rPr>
              <w:t>Moc źródła światła: min. 9 W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  <w:lang w:eastAsia="en-US"/>
              </w:rPr>
            </w:pPr>
            <w:r>
              <w:rPr>
                <w:rFonts w:cs="Calibri" w:cstheme="minorHAnsi"/>
                <w:spacing w:val="-2"/>
                <w:kern w:val="0"/>
                <w:sz w:val="24"/>
                <w:szCs w:val="24"/>
                <w:lang w:val="pl-PL" w:eastAsia="en-US" w:bidi="ar-SA"/>
              </w:rPr>
              <w:t>T</w:t>
            </w:r>
            <w:r>
              <w:rPr>
                <w:rFonts w:cs="Calibri" w:cstheme="minorHAnsi"/>
                <w:spacing w:val="2"/>
                <w:kern w:val="0"/>
                <w:sz w:val="24"/>
                <w:szCs w:val="24"/>
                <w:lang w:val="pl-PL" w:eastAsia="en-US" w:bidi="ar-SA"/>
              </w:rPr>
              <w:t>A</w:t>
            </w: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K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bidi="ar-SA"/>
              </w:rPr>
              <w:t>podać</w:t>
            </w:r>
          </w:p>
        </w:tc>
        <w:tc>
          <w:tcPr>
            <w:tcW w:w="35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3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pl-PL" w:bidi="ar-SA"/>
              </w:rPr>
              <w:t>Waga lampy poniżej 430 g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  <w:lang w:eastAsia="en-US"/>
              </w:rPr>
            </w:pPr>
            <w:r>
              <w:rPr>
                <w:rFonts w:cs="Calibri" w:cstheme="minorHAnsi"/>
                <w:spacing w:val="-2"/>
                <w:kern w:val="0"/>
                <w:sz w:val="24"/>
                <w:szCs w:val="24"/>
                <w:lang w:val="pl-PL" w:eastAsia="en-US" w:bidi="ar-SA"/>
              </w:rPr>
              <w:t>T</w:t>
            </w:r>
            <w:r>
              <w:rPr>
                <w:rFonts w:cs="Calibri" w:cstheme="minorHAnsi"/>
                <w:spacing w:val="2"/>
                <w:kern w:val="0"/>
                <w:sz w:val="24"/>
                <w:szCs w:val="24"/>
                <w:lang w:val="pl-PL" w:eastAsia="en-US" w:bidi="ar-SA"/>
              </w:rPr>
              <w:t>A</w:t>
            </w: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K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podać</w:t>
            </w:r>
          </w:p>
        </w:tc>
        <w:tc>
          <w:tcPr>
            <w:tcW w:w="35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3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pl-PL" w:bidi="ar-SA"/>
              </w:rPr>
              <w:t>Na wyposażeniu 2 akumulatory i ładowarka z 2 stacjami dokującymi, możliwość 4 stacji dokujących, kabura na akumulator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spacing w:val="-2"/>
                <w:kern w:val="0"/>
                <w:sz w:val="24"/>
                <w:szCs w:val="24"/>
                <w:lang w:val="pl-PL" w:eastAsia="en-US" w:bidi="ar-SA"/>
              </w:rPr>
              <w:t>T</w:t>
            </w:r>
            <w:r>
              <w:rPr>
                <w:rFonts w:cs="Calibri" w:cstheme="minorHAnsi"/>
                <w:spacing w:val="2"/>
                <w:kern w:val="0"/>
                <w:sz w:val="24"/>
                <w:szCs w:val="24"/>
                <w:lang w:val="pl-PL" w:eastAsia="en-US" w:bidi="ar-SA"/>
              </w:rPr>
              <w:t>A</w:t>
            </w: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K</w:t>
            </w:r>
          </w:p>
        </w:tc>
        <w:tc>
          <w:tcPr>
            <w:tcW w:w="35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3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pl-PL" w:bidi="ar-SA"/>
              </w:rPr>
              <w:t>Czas ładowania akumulatora max 3</w:t>
            </w:r>
            <w:r>
              <w:rPr>
                <w:rFonts w:cs="Calibri"/>
                <w:color w:val="FF0000"/>
                <w:kern w:val="0"/>
                <w:sz w:val="24"/>
                <w:szCs w:val="24"/>
                <w:lang w:val="pl-PL" w:bidi="ar-SA"/>
              </w:rPr>
              <w:t xml:space="preserve"> </w:t>
            </w:r>
            <w:r>
              <w:rPr>
                <w:rFonts w:cs="Calibri"/>
                <w:kern w:val="0"/>
                <w:sz w:val="24"/>
                <w:szCs w:val="24"/>
                <w:lang w:val="pl-PL" w:bidi="ar-SA"/>
              </w:rPr>
              <w:t>godz.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spacing w:val="-2"/>
                <w:kern w:val="0"/>
                <w:sz w:val="24"/>
                <w:szCs w:val="24"/>
                <w:lang w:val="pl-PL" w:eastAsia="en-US" w:bidi="ar-SA"/>
              </w:rPr>
              <w:t>T</w:t>
            </w:r>
            <w:r>
              <w:rPr>
                <w:rFonts w:cs="Calibri" w:cstheme="minorHAnsi"/>
                <w:spacing w:val="2"/>
                <w:kern w:val="0"/>
                <w:sz w:val="24"/>
                <w:szCs w:val="24"/>
                <w:lang w:val="pl-PL" w:eastAsia="en-US" w:bidi="ar-SA"/>
              </w:rPr>
              <w:t>A</w:t>
            </w: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K</w:t>
            </w:r>
          </w:p>
        </w:tc>
        <w:tc>
          <w:tcPr>
            <w:tcW w:w="35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3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pl-PL" w:bidi="ar-SA"/>
              </w:rPr>
              <w:t xml:space="preserve">Czas pracy lampy na baterii przy maksymalnym natężeniu światła </w:t>
              <w:br/>
              <w:t>– min. 4 godziny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pacing w:val="-2"/>
                <w:sz w:val="24"/>
                <w:szCs w:val="24"/>
                <w:lang w:eastAsia="en-US"/>
              </w:rPr>
            </w:pPr>
            <w:r>
              <w:rPr>
                <w:rFonts w:cs="Calibri" w:cstheme="minorHAnsi"/>
                <w:spacing w:val="-2"/>
                <w:kern w:val="0"/>
                <w:sz w:val="24"/>
                <w:szCs w:val="24"/>
                <w:lang w:val="pl-PL" w:eastAsia="en-US" w:bidi="ar-SA"/>
              </w:rPr>
              <w:t>T</w:t>
            </w:r>
            <w:r>
              <w:rPr>
                <w:rFonts w:cs="Calibri" w:cstheme="minorHAnsi"/>
                <w:spacing w:val="2"/>
                <w:kern w:val="0"/>
                <w:sz w:val="24"/>
                <w:szCs w:val="24"/>
                <w:lang w:val="pl-PL" w:eastAsia="en-US" w:bidi="ar-SA"/>
              </w:rPr>
              <w:t>A</w:t>
            </w: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K</w:t>
            </w:r>
          </w:p>
        </w:tc>
        <w:tc>
          <w:tcPr>
            <w:tcW w:w="35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3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pl-PL" w:bidi="ar-SA"/>
              </w:rPr>
              <w:t>Wyświetlacz LCD wskazujący poziom naładowania akumulatora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pacing w:val="-2"/>
                <w:sz w:val="24"/>
                <w:szCs w:val="24"/>
                <w:lang w:eastAsia="en-US"/>
              </w:rPr>
            </w:pPr>
            <w:r>
              <w:rPr>
                <w:rFonts w:cs="Calibri" w:cstheme="minorHAnsi"/>
                <w:spacing w:val="-2"/>
                <w:kern w:val="0"/>
                <w:sz w:val="24"/>
                <w:szCs w:val="24"/>
                <w:lang w:val="pl-PL" w:eastAsia="en-US" w:bidi="ar-SA"/>
              </w:rPr>
              <w:t>T</w:t>
            </w:r>
            <w:r>
              <w:rPr>
                <w:rFonts w:cs="Calibri" w:cstheme="minorHAnsi"/>
                <w:spacing w:val="2"/>
                <w:kern w:val="0"/>
                <w:sz w:val="24"/>
                <w:szCs w:val="24"/>
                <w:lang w:val="pl-PL" w:eastAsia="en-US" w:bidi="ar-SA"/>
              </w:rPr>
              <w:t>A</w:t>
            </w: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K</w:t>
            </w:r>
          </w:p>
        </w:tc>
        <w:tc>
          <w:tcPr>
            <w:tcW w:w="35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3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pl-PL" w:bidi="ar-SA"/>
              </w:rPr>
              <w:t>System zapobiegający przeładowywaniu  akumulatorów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pacing w:val="-2"/>
                <w:sz w:val="24"/>
                <w:szCs w:val="24"/>
                <w:lang w:eastAsia="en-US"/>
              </w:rPr>
            </w:pPr>
            <w:r>
              <w:rPr>
                <w:rFonts w:cs="Calibri" w:cstheme="minorHAnsi"/>
                <w:spacing w:val="-2"/>
                <w:kern w:val="0"/>
                <w:sz w:val="24"/>
                <w:szCs w:val="24"/>
                <w:lang w:val="pl-PL" w:eastAsia="en-US" w:bidi="ar-SA"/>
              </w:rPr>
              <w:t>T</w:t>
            </w:r>
            <w:r>
              <w:rPr>
                <w:rFonts w:cs="Calibri" w:cstheme="minorHAnsi"/>
                <w:spacing w:val="2"/>
                <w:kern w:val="0"/>
                <w:sz w:val="24"/>
                <w:szCs w:val="24"/>
                <w:lang w:val="pl-PL" w:eastAsia="en-US" w:bidi="ar-SA"/>
              </w:rPr>
              <w:t>A</w:t>
            </w: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K</w:t>
            </w:r>
          </w:p>
        </w:tc>
        <w:tc>
          <w:tcPr>
            <w:tcW w:w="35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3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pl-PL" w:bidi="ar-SA"/>
              </w:rPr>
              <w:t>Ostrzegawcza sygnalizacja dźwiękowa rozpoczynająca się 15 minut przed pełnym wyładowaniem akumulatora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pacing w:val="-2"/>
                <w:sz w:val="24"/>
                <w:szCs w:val="24"/>
                <w:lang w:eastAsia="en-US"/>
              </w:rPr>
            </w:pPr>
            <w:r>
              <w:rPr>
                <w:rFonts w:cs="Calibri" w:cstheme="minorHAnsi"/>
                <w:spacing w:val="-2"/>
                <w:kern w:val="0"/>
                <w:sz w:val="24"/>
                <w:szCs w:val="24"/>
                <w:lang w:val="pl-PL" w:eastAsia="en-US" w:bidi="ar-SA"/>
              </w:rPr>
              <w:t>T</w:t>
            </w:r>
            <w:r>
              <w:rPr>
                <w:rFonts w:cs="Calibri" w:cstheme="minorHAnsi"/>
                <w:spacing w:val="2"/>
                <w:kern w:val="0"/>
                <w:sz w:val="24"/>
                <w:szCs w:val="24"/>
                <w:lang w:val="pl-PL" w:eastAsia="en-US" w:bidi="ar-SA"/>
              </w:rPr>
              <w:t>A</w:t>
            </w: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K</w:t>
            </w:r>
          </w:p>
        </w:tc>
        <w:tc>
          <w:tcPr>
            <w:tcW w:w="35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3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pl-PL" w:bidi="ar-SA"/>
              </w:rPr>
              <w:t xml:space="preserve">Opaska na głowę z </w:t>
            </w:r>
            <w:r>
              <w:rPr>
                <w:rStyle w:val="Jlqj4b"/>
                <w:rFonts w:cs="Calibri"/>
                <w:kern w:val="0"/>
                <w:sz w:val="24"/>
                <w:szCs w:val="24"/>
                <w:lang w:val="pl-PL" w:bidi="ar-SA"/>
              </w:rPr>
              <w:t xml:space="preserve">wszechstronną regulacją rozmiaru 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pacing w:val="-2"/>
                <w:sz w:val="24"/>
                <w:szCs w:val="24"/>
                <w:lang w:eastAsia="en-US"/>
              </w:rPr>
            </w:pPr>
            <w:r>
              <w:rPr>
                <w:rFonts w:cs="Calibri" w:cstheme="minorHAnsi"/>
                <w:spacing w:val="-2"/>
                <w:kern w:val="0"/>
                <w:sz w:val="24"/>
                <w:szCs w:val="24"/>
                <w:lang w:val="pl-PL" w:eastAsia="en-US" w:bidi="ar-SA"/>
              </w:rPr>
              <w:t>T</w:t>
            </w:r>
            <w:r>
              <w:rPr>
                <w:rFonts w:cs="Calibri" w:cstheme="minorHAnsi"/>
                <w:spacing w:val="2"/>
                <w:kern w:val="0"/>
                <w:sz w:val="24"/>
                <w:szCs w:val="24"/>
                <w:lang w:val="pl-PL" w:eastAsia="en-US" w:bidi="ar-SA"/>
              </w:rPr>
              <w:t>A</w:t>
            </w: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K</w:t>
            </w:r>
          </w:p>
        </w:tc>
        <w:tc>
          <w:tcPr>
            <w:tcW w:w="35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3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pl-PL" w:bidi="ar-SA"/>
              </w:rPr>
              <w:t xml:space="preserve">Opaska na głowę wyposażona w wymienialne poduszki zapewniające komfort użytkownika 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pacing w:val="-2"/>
                <w:sz w:val="24"/>
                <w:szCs w:val="24"/>
                <w:lang w:eastAsia="en-US"/>
              </w:rPr>
            </w:pPr>
            <w:r>
              <w:rPr>
                <w:rFonts w:cs="Calibri" w:cstheme="minorHAnsi"/>
                <w:spacing w:val="-2"/>
                <w:kern w:val="0"/>
                <w:sz w:val="24"/>
                <w:szCs w:val="24"/>
                <w:lang w:val="pl-PL" w:eastAsia="en-US" w:bidi="ar-SA"/>
              </w:rPr>
              <w:t>T</w:t>
            </w:r>
            <w:r>
              <w:rPr>
                <w:rFonts w:cs="Calibri" w:cstheme="minorHAnsi"/>
                <w:spacing w:val="2"/>
                <w:kern w:val="0"/>
                <w:sz w:val="24"/>
                <w:szCs w:val="24"/>
                <w:lang w:val="pl-PL" w:eastAsia="en-US" w:bidi="ar-SA"/>
              </w:rPr>
              <w:t>A</w:t>
            </w: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K</w:t>
            </w:r>
          </w:p>
        </w:tc>
        <w:tc>
          <w:tcPr>
            <w:tcW w:w="35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3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pl-PL" w:bidi="ar-SA"/>
              </w:rPr>
              <w:t>Cichy, aktywny system chłodzenia z wylotem powietrza umieszczonym w tylnej części opaski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pacing w:val="-2"/>
                <w:sz w:val="24"/>
                <w:szCs w:val="24"/>
                <w:lang w:eastAsia="en-US"/>
              </w:rPr>
            </w:pPr>
            <w:r>
              <w:rPr>
                <w:rFonts w:cs="Calibri" w:cstheme="minorHAnsi"/>
                <w:spacing w:val="-2"/>
                <w:kern w:val="0"/>
                <w:sz w:val="24"/>
                <w:szCs w:val="24"/>
                <w:lang w:val="pl-PL" w:eastAsia="en-US" w:bidi="ar-SA"/>
              </w:rPr>
              <w:t>T</w:t>
            </w:r>
            <w:r>
              <w:rPr>
                <w:rFonts w:cs="Calibri" w:cstheme="minorHAnsi"/>
                <w:spacing w:val="2"/>
                <w:kern w:val="0"/>
                <w:sz w:val="24"/>
                <w:szCs w:val="24"/>
                <w:lang w:val="pl-PL" w:eastAsia="en-US" w:bidi="ar-SA"/>
              </w:rPr>
              <w:t>A</w:t>
            </w: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K</w:t>
            </w:r>
          </w:p>
        </w:tc>
        <w:tc>
          <w:tcPr>
            <w:tcW w:w="35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3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pl-PL" w:bidi="ar-SA"/>
              </w:rPr>
              <w:t>Walizka do przechowywania lampy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pacing w:val="-2"/>
                <w:sz w:val="24"/>
                <w:szCs w:val="24"/>
                <w:lang w:eastAsia="en-US"/>
              </w:rPr>
            </w:pPr>
            <w:r>
              <w:rPr>
                <w:rFonts w:cs="Calibri" w:cstheme="minorHAnsi"/>
                <w:spacing w:val="-2"/>
                <w:kern w:val="0"/>
                <w:sz w:val="24"/>
                <w:szCs w:val="24"/>
                <w:lang w:val="pl-PL" w:eastAsia="en-US" w:bidi="ar-SA"/>
              </w:rPr>
              <w:t>T</w:t>
            </w:r>
            <w:r>
              <w:rPr>
                <w:rFonts w:cs="Calibri" w:cstheme="minorHAnsi"/>
                <w:spacing w:val="2"/>
                <w:kern w:val="0"/>
                <w:sz w:val="24"/>
                <w:szCs w:val="24"/>
                <w:lang w:val="pl-PL" w:eastAsia="en-US" w:bidi="ar-SA"/>
              </w:rPr>
              <w:t>A</w:t>
            </w: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K</w:t>
            </w:r>
          </w:p>
        </w:tc>
        <w:tc>
          <w:tcPr>
            <w:tcW w:w="35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3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pl-PL" w:bidi="ar-SA"/>
              </w:rPr>
              <w:t>Klips do mocowania kabla do fartucha operacyjnego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pacing w:val="-2"/>
                <w:sz w:val="24"/>
                <w:szCs w:val="24"/>
                <w:lang w:eastAsia="en-US"/>
              </w:rPr>
            </w:pPr>
            <w:r>
              <w:rPr>
                <w:rFonts w:cs="Calibri" w:cstheme="minorHAnsi"/>
                <w:spacing w:val="-2"/>
                <w:kern w:val="0"/>
                <w:sz w:val="24"/>
                <w:szCs w:val="24"/>
                <w:lang w:val="pl-PL" w:eastAsia="en-US" w:bidi="ar-SA"/>
              </w:rPr>
              <w:t>T</w:t>
            </w:r>
            <w:r>
              <w:rPr>
                <w:rFonts w:cs="Calibri" w:cstheme="minorHAnsi"/>
                <w:spacing w:val="2"/>
                <w:kern w:val="0"/>
                <w:sz w:val="24"/>
                <w:szCs w:val="24"/>
                <w:lang w:val="pl-PL" w:eastAsia="en-US" w:bidi="ar-SA"/>
              </w:rPr>
              <w:t>A</w:t>
            </w: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K</w:t>
            </w:r>
          </w:p>
        </w:tc>
        <w:tc>
          <w:tcPr>
            <w:tcW w:w="35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3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pl-PL" w:bidi="ar-SA"/>
              </w:rPr>
              <w:t>Podać zalecaną przez producenta częstość wykonywania przeglądów okresowych. Wymienić zakres czynności wykonywanych podczas przeglądów okresowych oraz elementy zużywalne wymieniane podczas wykonywania w/w przeglądu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  <w:lang w:eastAsia="en-US"/>
              </w:rPr>
            </w:pPr>
            <w:r>
              <w:rPr>
                <w:rFonts w:cs="Calibri" w:cstheme="minorHAnsi"/>
                <w:spacing w:val="-2"/>
                <w:kern w:val="0"/>
                <w:sz w:val="24"/>
                <w:szCs w:val="24"/>
                <w:lang w:val="pl-PL" w:eastAsia="en-US" w:bidi="ar-SA"/>
              </w:rPr>
              <w:t>T</w:t>
            </w:r>
            <w:r>
              <w:rPr>
                <w:rFonts w:cs="Calibri" w:cstheme="minorHAnsi"/>
                <w:spacing w:val="2"/>
                <w:kern w:val="0"/>
                <w:sz w:val="24"/>
                <w:szCs w:val="24"/>
                <w:lang w:val="pl-PL" w:eastAsia="en-US" w:bidi="ar-SA"/>
              </w:rPr>
              <w:t>A</w:t>
            </w: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K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podać</w:t>
            </w:r>
          </w:p>
        </w:tc>
        <w:tc>
          <w:tcPr>
            <w:tcW w:w="35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uppressAutoHyphens w:val="false"/>
        <w:spacing w:lineRule="auto" w:line="24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cstheme="minorHAnsi"/>
          <w:sz w:val="24"/>
          <w:szCs w:val="28"/>
        </w:rPr>
        <w:t>Wymogiem jest aby wartości podane  w kolumnie „Wartość oferowana” były zgodne z danymi zawartymi w oficjalnym dokumencie przedstawiającym dane techniczne ( np. Product Data). Zamawiający ma prawo wystąpić do Wykonawcy o udostępnienie takiego dokumentu celem weryfikacji.</w:t>
      </w:r>
      <w:r>
        <w:rPr>
          <w:rFonts w:cs="Calibri" w:cstheme="minorHAnsi"/>
          <w:szCs w:val="24"/>
        </w:rPr>
        <w:t xml:space="preserve"> </w:t>
      </w:r>
    </w:p>
    <w:p>
      <w:pPr>
        <w:pStyle w:val="Nagwek6"/>
        <w:rPr>
          <w:rFonts w:ascii="Calibri" w:hAnsi="Calibri" w:cs="Calibri" w:asciiTheme="minorHAnsi" w:cstheme="minorHAnsi" w:hAnsiTheme="minorHAnsi"/>
          <w:color w:val="000000" w:themeColor="text1"/>
          <w:szCs w:val="24"/>
        </w:rPr>
      </w:pPr>
      <w:r>
        <w:rPr>
          <w:rFonts w:cs="Calibri" w:ascii="Calibri" w:hAnsi="Calibri" w:asciiTheme="minorHAnsi" w:cstheme="minorHAnsi" w:hAnsiTheme="minorHAnsi"/>
          <w:color w:val="000000" w:themeColor="text1"/>
          <w:szCs w:val="24"/>
        </w:rPr>
        <w:t>Zamawiający zastrzega sobie prawo do zażądania w wyznaczonym przez siebie terminie, dokonania przez Wykonawcę prezentacji, pokazu oferowanego  przedmiotu zamówienia ze wszystkimi wymaganymi parametrami. Niespełnienie tego wymagania spowoduje odrzucenie oferty jako niezgodnej z treścią SIWZ.</w:t>
      </w:r>
    </w:p>
    <w:p>
      <w:pPr>
        <w:pStyle w:val="Tytu"/>
        <w:jc w:val="lef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Tytu"/>
        <w:jc w:val="lef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Proponowany termin dostawy max 30 dni.</w:t>
      </w:r>
    </w:p>
    <w:p>
      <w:pPr>
        <w:pStyle w:val="Tytu"/>
        <w:jc w:val="lef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Tretekstu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cstheme="minorHAnsi" w:ascii="Calibri" w:hAnsi="Calibri"/>
          <w:szCs w:val="24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                                                                                                                    </w:t>
      </w:r>
    </w:p>
    <w:p>
      <w:pPr>
        <w:pStyle w:val="Normal"/>
        <w:ind w:left="6372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bookmarkStart w:id="0" w:name="_Hlk92976469"/>
      <w:r>
        <w:rPr>
          <w:rFonts w:cs="Calibri" w:cstheme="minorHAnsi"/>
          <w:sz w:val="24"/>
          <w:szCs w:val="24"/>
        </w:rPr>
        <w:t xml:space="preserve">                                           </w:t>
      </w:r>
      <w:bookmarkEnd w:id="0"/>
    </w:p>
    <w:p>
      <w:pPr>
        <w:pStyle w:val="Tytu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before="0" w:after="1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sectPr>
      <w:type w:val="nextPage"/>
      <w:pgSz w:orient="landscape" w:w="16838" w:h="11906"/>
      <w:pgMar w:left="1417" w:right="1245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74acc"/>
    <w:pPr>
      <w:widowControl/>
      <w:suppressAutoHyphens w:val="true"/>
      <w:bidi w:val="0"/>
      <w:spacing w:lineRule="auto" w:line="247" w:before="0" w:after="16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pl-PL" w:eastAsia="pl-PL" w:bidi="ar-SA"/>
    </w:rPr>
  </w:style>
  <w:style w:type="paragraph" w:styleId="Nagwek6">
    <w:name w:val="Heading 6"/>
    <w:basedOn w:val="Normal"/>
    <w:next w:val="Normal"/>
    <w:link w:val="Nagwek6Znak"/>
    <w:uiPriority w:val="9"/>
    <w:semiHidden/>
    <w:unhideWhenUsed/>
    <w:qFormat/>
    <w:rsid w:val="0084772c"/>
    <w:pPr>
      <w:keepNext w:val="true"/>
      <w:keepLines/>
      <w:suppressAutoHyphens w:val="false"/>
      <w:spacing w:lineRule="auto" w:line="240" w:before="40" w:after="0"/>
      <w:outlineLvl w:val="5"/>
    </w:pPr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6Znak" w:customStyle="1">
    <w:name w:val="Nagłówek 6 Znak"/>
    <w:basedOn w:val="DefaultParagraphFont"/>
    <w:link w:val="Nagwek6"/>
    <w:uiPriority w:val="9"/>
    <w:semiHidden/>
    <w:qFormat/>
    <w:rsid w:val="0084772c"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0"/>
      <w:lang w:eastAsia="pl-PL"/>
    </w:rPr>
  </w:style>
  <w:style w:type="character" w:styleId="TytuZnak" w:customStyle="1">
    <w:name w:val="Tytuł Znak"/>
    <w:basedOn w:val="DefaultParagraphFont"/>
    <w:link w:val="Tytu"/>
    <w:qFormat/>
    <w:rsid w:val="0084772c"/>
    <w:rPr>
      <w:rFonts w:ascii="Times New Roman" w:hAnsi="Times New Roman" w:eastAsia="Times New Roman" w:cs="Times New Roman"/>
      <w:b/>
      <w:sz w:val="28"/>
      <w:szCs w:val="20"/>
      <w:lang w:eastAsia="pl-PL"/>
    </w:rPr>
  </w:style>
  <w:style w:type="character" w:styleId="TekstpodstawowyZnak" w:customStyle="1">
    <w:name w:val="Tekst podstawowy Znak"/>
    <w:basedOn w:val="DefaultParagraphFont"/>
    <w:link w:val="Tekstpodstawowy"/>
    <w:semiHidden/>
    <w:qFormat/>
    <w:rsid w:val="0084772c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TekstkomentarzaZnak" w:customStyle="1">
    <w:name w:val="Tekst komentarza Znak"/>
    <w:basedOn w:val="DefaultParagraphFont"/>
    <w:link w:val="Tekstkomentarza"/>
    <w:semiHidden/>
    <w:qFormat/>
    <w:rsid w:val="00da5646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StopkaZnak" w:customStyle="1">
    <w:name w:val="Stopka Znak"/>
    <w:basedOn w:val="DefaultParagraphFont"/>
    <w:link w:val="Stopka"/>
    <w:semiHidden/>
    <w:qFormat/>
    <w:rsid w:val="00da5646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Jlqj4b" w:customStyle="1">
    <w:name w:val="jlqj4b"/>
    <w:basedOn w:val="DefaultParagraphFont"/>
    <w:qFormat/>
    <w:rsid w:val="00da5646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link w:val="TekstpodstawowyZnak"/>
    <w:semiHidden/>
    <w:unhideWhenUsed/>
    <w:rsid w:val="0084772c"/>
    <w:pPr>
      <w:suppressAutoHyphens w:val="false"/>
      <w:spacing w:lineRule="auto" w:line="240" w:before="0" w:after="0"/>
    </w:pPr>
    <w:rPr>
      <w:rFonts w:ascii="Times New Roman" w:hAnsi="Times New Roman"/>
      <w:sz w:val="24"/>
      <w:szCs w:val="20"/>
    </w:rPr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rsid w:val="00974acc"/>
    <w:pPr>
      <w:ind w:left="720" w:hanging="0"/>
    </w:pPr>
    <w:rPr/>
  </w:style>
  <w:style w:type="paragraph" w:styleId="Tytu">
    <w:name w:val="Title"/>
    <w:basedOn w:val="Normal"/>
    <w:link w:val="TytuZnak"/>
    <w:qFormat/>
    <w:rsid w:val="0084772c"/>
    <w:pPr>
      <w:suppressAutoHyphens w:val="false"/>
      <w:spacing w:lineRule="auto" w:line="240" w:before="0" w:after="0"/>
      <w:jc w:val="center"/>
    </w:pPr>
    <w:rPr>
      <w:rFonts w:ascii="Times New Roman" w:hAnsi="Times New Roman"/>
      <w:b/>
      <w:sz w:val="28"/>
      <w:szCs w:val="20"/>
    </w:rPr>
  </w:style>
  <w:style w:type="paragraph" w:styleId="Annotationtext">
    <w:name w:val="annotation text"/>
    <w:basedOn w:val="Normal"/>
    <w:link w:val="TekstkomentarzaZnak"/>
    <w:semiHidden/>
    <w:unhideWhenUsed/>
    <w:qFormat/>
    <w:rsid w:val="00da5646"/>
    <w:pPr>
      <w:suppressAutoHyphens w:val="false"/>
      <w:spacing w:lineRule="auto" w:line="240" w:before="0" w:after="0"/>
    </w:pPr>
    <w:rPr>
      <w:rFonts w:ascii="Times New Roman" w:hAnsi="Times New Roman"/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semiHidden/>
    <w:unhideWhenUsed/>
    <w:rsid w:val="00da5646"/>
    <w:pPr>
      <w:tabs>
        <w:tab w:val="clear" w:pos="708"/>
        <w:tab w:val="center" w:pos="4536" w:leader="none"/>
        <w:tab w:val="right" w:pos="9072" w:leader="none"/>
      </w:tabs>
      <w:suppressAutoHyphens w:val="false"/>
      <w:spacing w:lineRule="auto" w:line="240" w:before="0" w:after="0"/>
    </w:pPr>
    <w:rPr>
      <w:rFonts w:ascii="Times New Roman" w:hAnsi="Times New Roman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5b2d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A4E30-466E-46B5-B3FC-9B9A06DDC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Application>LibreOffice/7.1.2.2$Windows_x86 LibreOffice_project/8a45595d069ef5570103caea1b71cc9d82b2aae4</Application>
  <AppVersion>15.0000</AppVersion>
  <Pages>3</Pages>
  <Words>383</Words>
  <Characters>2317</Characters>
  <CharactersWithSpaces>2896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2023-01-30T06:51:00Z</dcterms:created>
  <dc:creator>Szpital</dc:creator>
  <dc:description/>
  <dc:language>pl-PL</dc:language>
  <cp:lastModifiedBy/>
  <cp:lastPrinted>2023-01-30T12:24:00Z</cp:lastPrinted>
  <dcterms:modified xsi:type="dcterms:W3CDTF">2023-06-16T12:21:04Z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