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center"/>
        <w:rPr>
          <w:b/>
          <w:b/>
          <w:bCs/>
        </w:rPr>
      </w:pPr>
      <w:r>
        <w:rPr>
          <w:b/>
          <w:bCs/>
        </w:rPr>
        <w:t>Opis przedmiotu zamówienia</w:t>
      </w:r>
    </w:p>
    <w:p>
      <w:pPr>
        <w:pStyle w:val="Tretekstu"/>
        <w:jc w:val="center"/>
        <w:rPr>
          <w:b w:val="false"/>
          <w:b w:val="false"/>
          <w:bCs w:val="false"/>
          <w:sz w:val="6"/>
          <w:szCs w:val="6"/>
        </w:rPr>
      </w:pPr>
      <w:r>
        <w:rPr>
          <w:b w:val="false"/>
          <w:bCs w:val="false"/>
          <w:sz w:val="6"/>
          <w:szCs w:val="6"/>
        </w:rPr>
      </w:r>
    </w:p>
    <w:p>
      <w:pPr>
        <w:pStyle w:val="Tretekstu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DZP.3320.77.20 – Aparat USG z funkcją echokardiografii</w:t>
      </w:r>
    </w:p>
    <w:p>
      <w:pPr>
        <w:pStyle w:val="Tretekstu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jc w:val="center"/>
        <w:rPr>
          <w:b w:val="false"/>
          <w:b w:val="false"/>
          <w:bCs w:val="false"/>
          <w:sz w:val="6"/>
          <w:szCs w:val="6"/>
        </w:rPr>
      </w:pPr>
      <w:r>
        <w:rPr>
          <w:b w:val="false"/>
          <w:bCs w:val="false"/>
          <w:sz w:val="6"/>
          <w:szCs w:val="6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371" w:type="dxa"/>
        <w:jc w:val="left"/>
        <w:tblInd w:w="-5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5"/>
        <w:gridCol w:w="5046"/>
        <w:gridCol w:w="1136"/>
        <w:gridCol w:w="2442"/>
        <w:gridCol w:w="1072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EEE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EEE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Opis parametru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EEE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Warunek graniczny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EEE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Skala oceny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EEE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 oferowany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retekstu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Aparat USG z funkcją echokardiografii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Aparat fabrycznie nowy, rok produkcji 2020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Producent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Model/typ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Kraj pochodzenia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3"/>
              <w:shd w:val="clear" w:fill="EEEEEE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Konstrukcja i konfiguracja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Konstrukcja mobilna na wózku z czterema skrętnymi kołami, z blokadą i do jazdy na wprost oraz hamulcem przynajmniej na dwóch kołach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Zasilanie 230V ± 10%; 50Hz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Modułowa konstrukcja aparatu umożliwiająca jego rozbudowę bez  konieczności wymiany aparatu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Cyfrowy system formowania i przetwarzania wiązki ultradźwiękowej, przetwornik min. 12 bitowy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tLeast" w:line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Podtrzymanie bateryjne wbudowane w aparat umożliwiające ponowne  uruchomienie aparatu i gotowość do pracy w czasie nie dłuższym niż 20 sek.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Monitor kolorowy LCD o przekątnej ekranu minimum 21” z możliwością regulacji położenia niezależnie od konsoli aparatu. 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obraz USG powinien zajmować min. 50% pola monitora</w:t>
            </w:r>
          </w:p>
          <w:p>
            <w:pPr>
              <w:pStyle w:val="Normal"/>
              <w:rPr/>
            </w:pPr>
            <w:r>
              <w:rPr>
                <w:sz w:val="21"/>
                <w:szCs w:val="21"/>
              </w:rPr>
              <w:t>Regulacja lewo-prawo, góra-dół.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Rozdzielczość monitora 1920×1080 lub 1600x1200 lub 1280x1024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2"/>
              <w:keepNext/>
              <w:shd w:val="clear" w:fill="FFFFFF"/>
              <w:ind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Powiększenie obrazu USG na cały ekran, tak aby obraz USG wypełnił więcej niż 80 % powierzchni ekranu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TAK/NIE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 – 5 pkt</w:t>
            </w:r>
          </w:p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NIE – 0 pkt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2"/>
              <w:keepNext/>
              <w:shd w:val="clear" w:fill="FFFFFF"/>
              <w:ind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Pulpit sterowniczy z regulacją wysokości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Pulpit sterowniczy  z regulacją  kąta obrotu pulpitu prawo-lewo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Wieszaki na głowice po obu stronach pulpitu.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Panel dotykowy wspomagający obsługę aparatu pozwalający na zmianę parametrów za pomocą dotyku, przekątna min 12 cali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Panel sterowania z podświetlanymi lub oświetlonymi przyciskami na klawiaturze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Zakres częstotliwości pracy określony częstotliwościami sond możliwych do podłączenia do aparatu, nie mniej niż 1,3-12 MHz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1,3-12MHz – 0 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1,3-18 MHz – 5pkt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Powyżej 18 MHz – 10 pkt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Min 4 aktywne gniazda dla głowic obrazowych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Pamięć dynamiczna obrazowa cine loop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>Programowanie nastaw dla aplikacji klinicznych i poszczególnych głowic usg, tzw. presety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3"/>
              <w:shd w:val="clear" w:fill="EEEEEE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Archiwizacja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Wbudowany wewnętrzny system archiwizacji obrazów i sekwencji oraz danych pacjentów na dysku twardym oraz możliwość zapisu obrazów w formatach kompatybilnych z systemem operacyjnym Windows, tj. w formatach co najmniej JPG lub TIFF i AVI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Wewnętrzny dysk twardy  o pojemności min. 500 GB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Nagrywarka DVD-R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Nagrywanie i odtwarzanie obrazów dynamicznych ( tzw. cine loop ) dla prezentacji Dopplera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Archiwizacja badań w postaci plików obrazowych i sekwencji filmowych na wbudowanym napędzie DVD-R w ogólnodostępnych formatach w tym: JPG lub TIFF, AVI oraz DICOM 3.0. Zapis na płytę  swobodnie wybranych pacjentów z ich obrazami i pętlami obrazowymi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Wyjście USB do pamięci typu FLASH do nagrywania obrazów w formatach JPG lub TIFF, AVI, DICOM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Raporty dla każdego rodzaju badania z możliwością dołączania obrazów do raportu oraz z możliwością wprowadzania własnych opisów i komentarzy do raportu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top w:w="55" w:type="dxa"/>
              <w:left w:w="71" w:type="dxa"/>
              <w:bottom w:w="5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top w:w="55" w:type="dxa"/>
              <w:left w:w="71" w:type="dxa"/>
              <w:bottom w:w="5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Obsługa protokołów w pełnym zakresie archiwizacji i wydruku obrazu oraz obsługi worklisty DICOM 3.0  z podłączeniem do sieci PACS/RIS użytkowanej w Zakładzie Radiologii.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top w:w="55" w:type="dxa"/>
              <w:left w:w="71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top w:w="55" w:type="dxa"/>
              <w:left w:w="71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55" w:type="dxa"/>
              <w:left w:w="71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462" w:hRule="atLeast"/>
        </w:trPr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3"/>
              <w:shd w:val="clear" w:fill="EEEEEE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Obrazowanie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Dostępne w aparacie tryby pracy: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fr-FR"/>
              </w:rPr>
              <w:t>2D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fr-FR"/>
              </w:rPr>
              <w:t>M-Mode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fr-FR"/>
              </w:rPr>
              <w:t>Color M-mode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fr-FR"/>
              </w:rPr>
              <w:t>M-Mode anatomiczny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Doppler pulsacyjny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Doppler ciągły (oferowane głowice sektorowe)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Doppler kolorowy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Power (angio) doppler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Doppler tkankowy kolorowy i spektralny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Pakiet pomiarów i obliczeń 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kardiologiczny dla dorosłych</w:t>
            </w:r>
          </w:p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naczyniowy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Automatyczny obrys spektrum dopplerowskiego wraz z pakietami obliczeniowymi na obrazie ruchomym (w czasie rzeczywistym ) oraz na obrazie zamrożonym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Zoom ( bez utraty jakości ) min 8x na obrazie zatrzymanym i w min 8x w czasie rzeczywistym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Technika harmoniczna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Automatyczna optymalizacja obrazu 2D przy pomocy jednego klawisza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Częstotliwość odświeżania obrazu (Frame rate) w 2D – min. 1900 Hz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Głębokość skanowania min 36 cm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Obrazowanie metodą skrzyżowanych ultradźwięków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Funkcja redukcji szumów ultradźwiękowych z jednoczesnym podkreśleniem granic tkanek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1"/>
                <w:szCs w:val="21"/>
              </w:rPr>
              <w:t xml:space="preserve">Jednoczesna prezentacja 2D i M-Mode w różnych proporcjach wielkości oraz samej prezentacji bez obrazu 2D.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Automatyczne lub półautomatyczne obrysowanie wsierdzia z możliwością korekty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Możliwość przeprowadzenia ręcznej korekty obrysu poprzez cofnięcie kursorem do miejsca rozpoczęcia korekty 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TAK/NIE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 – 5 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NIE – 0 pkt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Funkcja automatycznego ustawiania parametrów bramki dopplerowskiej w naczyniu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TAK/NIE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 – 5 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NIE – 0 pkt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Prezentacja DUPLEX 2D/Color Doppler dostępne ze wszystkich głowic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Prezentacja TRIPLEX  w wariancie 2D/Color Doppler i PW  dostępne ze wszystkich głowic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24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Korekcja kąta bramki dopplerowskiej min. +/- 80stopni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Regulacja szerokości bramki dopplerowskiej  w granicach min. 1-16 mm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Zakres pomiaru prędkości dla Dopplera pulsacyjnego min  8,5 m/s przy zerowym kącie korekcji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Największa wartość – 5pkt</w:t>
            </w:r>
          </w:p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Wartość graniczna – 0 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Pozostałe proporcjonalnie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Zakres pomiaru prędkości dla Dopplera ciągłego min  12,5 m/s przy zerowym kącie korekcji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Największa wartość – 5pkt</w:t>
            </w:r>
          </w:p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Wartość graniczna – 0 pkt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Pozostałe proporcjonalnie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Automatyczna optymalizacja obrazu 2D przy pomocy jednego przycisku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Automatyczna korekcja kąta bramki dopplerowskiej w zakresie min. +/- 20 stopni  za pomocą jednego przycisku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440" w:leader="none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Automatyczna zmiana częstotliwości Dopplera kolorowego wraz ze zmianą głębokości badania dla głowicy sektorowej.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1"/>
              <w:shd w:val="clear" w:fill="EEEEEE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Sondy dedykowane do aparatu elektroniczne, szerokopasmowe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>Głowica sektorowa, do badań kardiologicznych dla dorosłych wykonana w technologii ukierunkowanej polaryzacji kryształów lub technologii matrycowej</w:t>
            </w:r>
            <w:r>
              <w:rPr>
                <w:sz w:val="21"/>
                <w:szCs w:val="21"/>
              </w:rPr>
              <w:t>.</w:t>
            </w:r>
          </w:p>
          <w:p>
            <w:pPr>
              <w:pStyle w:val="Nagwek1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 xml:space="preserve">zakres częstotliwości pracy min 2-4 MHz </w:t>
            </w:r>
          </w:p>
          <w:p>
            <w:pPr>
              <w:pStyle w:val="Nagwek1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>min. 80 elementów  tworzących obraz</w:t>
            </w:r>
          </w:p>
          <w:p>
            <w:pPr>
              <w:pStyle w:val="Nagwek1"/>
              <w:numPr>
                <w:ilvl w:val="0"/>
                <w:numId w:val="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obrazowanie  harmoniczne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 xml:space="preserve">Głowica liniowa </w:t>
            </w:r>
          </w:p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>- zakres częstotliwości pracy min. 4-9MHz</w:t>
            </w:r>
          </w:p>
          <w:p>
            <w:pPr>
              <w:pStyle w:val="Normal"/>
              <w:tabs>
                <w:tab w:val="left" w:pos="1800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długość czoła głowicy  max. 45 mm </w:t>
            </w:r>
          </w:p>
          <w:p>
            <w:pPr>
              <w:pStyle w:val="Normal"/>
              <w:tabs>
                <w:tab w:val="left" w:pos="1800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 min. 190 elementów tworzących obraz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fill="EEEEEE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Inne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Podać zalecaną przez producenta częstość wykonywania przeglądów okresowych </w:t>
            </w:r>
          </w:p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retekstu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Podłączenie i skonfigurowanie oferowanego aparatu USG z funkcją echokardiografii  do istniejącego w Zakładzie Radiologii systemu PACS/RIS  firmy Alteris 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Eksport raportu ( raport z logo O. Kardiologii ) pacjenta w formie pdf do systemu szpitalnego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Bezpłatna aktualizacja oprogramowania w okresie gwarancji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03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5"/>
              <w:shd w:val="clear" w:fill="EEEEE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Możliwości rozbudowy dostępne na dzień składania oferty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tabs>
                <w:tab w:val="left" w:pos="284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Możliwość rozbudowy o analizę Strain/Strain Rate oraz obrazowanie kinetyczne umożliwiające m.in. automatyczny obrys wsierdzia oraz pomiar frakcji wyrzutowej. Dostępne w aparacie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tabs>
                <w:tab w:val="left" w:pos="284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Możliwość rozbudowy o oprogramowanie </w:t>
            </w:r>
            <w:r>
              <w:rPr>
                <w:sz w:val="21"/>
                <w:szCs w:val="21"/>
              </w:rPr>
              <w:t>do zautomatyzowanej analizy zaburzeń kurczliwości lewej komory serca w oparciu o technologię śledzenia plamek ultrasonograficznych obrazu 2D, z prezentacją wyników w formie wykresu kołowego typu „bulls-eye”.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Calibri"/>
                <w:spacing w:val="-2"/>
                <w:sz w:val="21"/>
                <w:szCs w:val="21"/>
              </w:rPr>
            </w:pPr>
            <w:r>
              <w:rPr>
                <w:rFonts w:cs="Calibri"/>
                <w:spacing w:val="-2"/>
                <w:sz w:val="21"/>
                <w:szCs w:val="21"/>
              </w:rPr>
            </w:r>
          </w:p>
        </w:tc>
      </w:tr>
      <w:tr>
        <w:trPr>
          <w:trHeight w:val="2128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b w:val="false"/>
                <w:sz w:val="21"/>
                <w:szCs w:val="21"/>
              </w:rPr>
              <w:t xml:space="preserve">Możliwość rozbudowy o głowicę do badań przezprzełykowych dla dorosłych wykonana w technologii ukierunkowanej polaryzacji kryształów lub technologii matrycowej </w:t>
            </w:r>
          </w:p>
          <w:p>
            <w:pPr>
              <w:pStyle w:val="Normal"/>
              <w:tabs>
                <w:tab w:val="left" w:pos="1800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 zakres częstotliwości pracy min. 3-7 MHz, tryby pracy: </w:t>
            </w:r>
            <w:r>
              <w:rPr>
                <w:color w:val="000000"/>
                <w:sz w:val="21"/>
                <w:szCs w:val="21"/>
              </w:rPr>
              <w:t>2D, Color Doppler, PW Doppler, CW Doppler, obrazowanie harmoniczne</w:t>
            </w:r>
          </w:p>
          <w:p>
            <w:pPr>
              <w:pStyle w:val="Nagwek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b w:val="false"/>
                <w:sz w:val="21"/>
                <w:szCs w:val="21"/>
              </w:rPr>
              <w:t>min. 2500 elementów  tworzących obraz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 typ i dane techniczne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964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Możliwość rozbudowy o głowicę przezprzełykową pediatryczną zakres pracy min. 3,5 -6,5 MHz, tryby pracy: </w:t>
            </w:r>
            <w:r>
              <w:rPr>
                <w:color w:val="000000"/>
                <w:sz w:val="21"/>
                <w:szCs w:val="21"/>
              </w:rPr>
              <w:t>2D, Color Doppler, PW Doppler, CW Doppler, obrazowanie harmoniczne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Podać typ</w:t>
              <w:br/>
              <w:t>i dane techniczne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tabs>
                <w:tab w:val="left" w:pos="284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Możliwość rozbudowy o oprogramowanie do prób wysiłkowych Stress Echo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agwek6"/>
              <w:tabs>
                <w:tab w:val="left" w:pos="284" w:leader="none"/>
                <w:tab w:val="left" w:pos="1843" w:leader="none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Możliwość rozbudowy o głowicę tzw. ślepą CW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TAK</w:t>
            </w:r>
          </w:p>
        </w:tc>
        <w:tc>
          <w:tcPr>
            <w:tcW w:w="2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hd w:val="clear" w:color="auto" w:fill="FFFFFF"/>
        <w:ind w:left="284" w:hanging="0"/>
        <w:rPr>
          <w:sz w:val="24"/>
        </w:rPr>
      </w:pPr>
      <w:r>
        <w:rPr>
          <w:sz w:val="24"/>
        </w:rPr>
        <w:tab/>
        <w:tab/>
        <w:tab/>
      </w:r>
    </w:p>
    <w:p>
      <w:pPr>
        <w:pStyle w:val="BodyText2"/>
        <w:jc w:val="both"/>
        <w:rPr/>
      </w:pPr>
      <w:r>
        <w:rPr/>
        <w:t>Wymogiem jest aby wartości podane  w kolumnie „Parametr oferowany” były zgodne</w:t>
        <w:br/>
        <w:t xml:space="preserve">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retekstu"/>
        <w:rPr/>
      </w:pPr>
      <w:r>
        <w:rPr/>
        <w:t>Zamawiający zastrzega sobie prawo do zażądania w wyznaczonym przez siebie terminie, dokonania przez Wykonawcę prezentacji, pokazu oferowanego aparatu USG z funkcją echokardiografii  ze wszystkimi wymaganymi parametrami. Niespełnienie tego wymagania spowoduje odrzucenie oferty jako niezgodnej z treścią SIWZ.</w:t>
      </w:r>
    </w:p>
    <w:p>
      <w:pPr>
        <w:pStyle w:val="PlainText"/>
        <w:rPr/>
      </w:pPr>
      <w:r>
        <w:rPr/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w:t>Sposób przyznawania punktów wstępnych w ramach kryterium jakość 20%: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pozycja 8, 14, 38 i 39 – parametr oceniany według zasad opisanych w kolumnie „Skala oceny”</w:t>
      </w:r>
    </w:p>
    <w:p>
      <w:pPr>
        <w:pStyle w:val="Normal"/>
        <w:numPr>
          <w:ilvl w:val="0"/>
          <w:numId w:val="2"/>
        </w:numPr>
        <w:jc w:val="left"/>
        <w:rPr/>
      </w:pPr>
      <w:r>
        <w:rPr>
          <w:sz w:val="24"/>
        </w:rPr>
        <w:t>pozycja 44 i 45 – punktacja obliczona wg wzoru: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sz w:val="24"/>
        </w:rPr>
        <w:t>LPK = wartość punktowa x (W</w:t>
      </w:r>
      <w:r>
        <w:rPr>
          <w:sz w:val="24"/>
          <w:vertAlign w:val="subscript"/>
        </w:rPr>
        <w:t>of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W</w:t>
      </w:r>
      <w:r>
        <w:rPr>
          <w:sz w:val="24"/>
          <w:vertAlign w:val="subscript"/>
        </w:rPr>
        <w:t>gr</w:t>
      </w:r>
      <w:r>
        <w:rPr>
          <w:sz w:val="24"/>
        </w:rPr>
        <w:t>) : (W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- W</w:t>
      </w:r>
      <w:r>
        <w:rPr>
          <w:sz w:val="24"/>
          <w:vertAlign w:val="subscript"/>
        </w:rPr>
        <w:t>gr</w:t>
      </w:r>
      <w:r>
        <w:rPr>
          <w:sz w:val="24"/>
        </w:rPr>
        <w:t>)</w:t>
      </w:r>
    </w:p>
    <w:p>
      <w:pPr>
        <w:pStyle w:val="Normal"/>
        <w:widowControl/>
        <w:bidi w:val="0"/>
        <w:spacing w:lineRule="auto" w:line="240" w:before="0" w:after="0"/>
        <w:ind w:left="1361" w:right="0" w:hanging="68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gdzie: </w:t>
      </w:r>
      <w:r>
        <w:rPr>
          <w:sz w:val="24"/>
        </w:rPr>
        <w:t>LPK – liczba pkt za dany parametr,</w:t>
        <w:br/>
        <w:t>W</w:t>
      </w:r>
      <w:r>
        <w:rPr>
          <w:sz w:val="24"/>
          <w:vertAlign w:val="subscript"/>
        </w:rPr>
        <w:t>gr</w:t>
      </w:r>
      <w:r>
        <w:rPr>
          <w:sz w:val="24"/>
        </w:rPr>
        <w:t xml:space="preserve"> – wartość graniczna parametru,</w:t>
        <w:br/>
        <w:t>W</w:t>
      </w:r>
      <w:r>
        <w:rPr>
          <w:sz w:val="24"/>
          <w:vertAlign w:val="subscript"/>
        </w:rPr>
        <w:t>of</w:t>
      </w:r>
      <w:r>
        <w:rPr>
          <w:sz w:val="24"/>
        </w:rPr>
        <w:t xml:space="preserve"> – wartość parametru oferowanego przez Wykonawcę,</w:t>
        <w:br/>
        <w:t>W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– maksymalna zaoferowana wartość.</w:t>
      </w:r>
    </w:p>
    <w:p>
      <w:pPr>
        <w:pStyle w:val="Normal"/>
        <w:widowControl/>
        <w:bidi w:val="0"/>
        <w:spacing w:lineRule="auto" w:line="240" w:before="0" w:after="0"/>
        <w:ind w:left="1361" w:right="0" w:hanging="680"/>
        <w:jc w:val="lef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/>
        <w:bidi w:val="0"/>
        <w:spacing w:lineRule="auto" w:line="240" w:before="0" w:after="0"/>
        <w:ind w:left="1361" w:right="0" w:hanging="68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 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  <w:t>.....................................................…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  <w:t>.....................................................…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(podpis osoby / osób uprawnionych)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ytu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134" w:footer="708" w:bottom="1417" w:gutter="0"/>
      <w:pgNumType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4535"/>
      <w:gridCol w:w="4534"/>
    </w:tblGrid>
    <w:tr>
      <w:trPr>
        <w:trHeight w:val="690" w:hRule="atLeast"/>
      </w:trPr>
      <w:tc>
        <w:tcPr>
          <w:tcW w:w="4535" w:type="dxa"/>
          <w:tcBorders/>
          <w:shd w:fill="auto" w:val="clear"/>
        </w:tcPr>
        <w:p>
          <w:pPr>
            <w:pStyle w:val="Stopka"/>
            <w:jc w:val="center"/>
            <w:rPr/>
          </w:pPr>
          <w:r>
            <w:rPr>
              <w:sz w:val="20"/>
              <w:shd w:fill="FFFFFF" w:val="clear"/>
              <w:lang w:val="pl-PL"/>
            </w:rPr>
            <w:t>Samodzielny Publiczny Szpital Wojewódzki</w:t>
            <w:br/>
            <w:t xml:space="preserve">im. Papieża Jana Pawła II </w:t>
            <w:br/>
            <w:t>DZP.3320.77.20 – Opis przedmiotu zamówienia</w:t>
          </w:r>
        </w:p>
      </w:tc>
      <w:tc>
        <w:tcPr>
          <w:tcW w:w="4534" w:type="dxa"/>
          <w:tcBorders/>
          <w:shd w:fill="auto" w:val="clear"/>
        </w:tcPr>
        <w:p>
          <w:pPr>
            <w:pStyle w:val="Stopka"/>
            <w:rPr>
              <w:rFonts w:eastAsia="Times New Roman" w:cs="Times New Roman"/>
              <w:sz w:val="20"/>
              <w:highlight w:val="white"/>
              <w:lang w:val="pl-PL"/>
            </w:rPr>
          </w:pPr>
          <w:r>
            <w:rPr>
              <w:rFonts w:eastAsia="Times New Roman" w:cs="Times New Roman"/>
              <w:sz w:val="20"/>
              <w:shd w:fill="FFFFFF" w:val="clear"/>
              <w:lang w:val="pl-PL"/>
            </w:rPr>
            <w:t xml:space="preserve">         </w:t>
          </w:r>
        </w:p>
        <w:p>
          <w:pPr>
            <w:pStyle w:val="Stopka"/>
            <w:jc w:val="right"/>
            <w:rPr/>
          </w:pPr>
          <w:r>
            <w:rPr>
              <w:sz w:val="20"/>
              <w:shd w:fill="FFFFFF" w:val="clear"/>
              <w:lang w:val="pl-PL" w:eastAsia="pl-PL"/>
            </w:rPr>
            <w:t xml:space="preserve">Strona </w:t>
          </w:r>
          <w:r>
            <w:rPr>
              <w:sz w:val="20"/>
              <w:shd w:fill="FFFFFF" w:val="clear"/>
              <w:lang w:val="pl-PL" w:eastAsia="pl-PL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sz w:val="20"/>
              <w:shd w:fill="FFFFFF" w:val="clear"/>
              <w:lang w:val="pl-PL" w:eastAsia="pl-PL"/>
            </w:rPr>
            <w:t xml:space="preserve"> z </w:t>
          </w:r>
          <w:r>
            <w:rPr>
              <w:sz w:val="20"/>
              <w:shd w:fill="FFFFFF" w:val="clear"/>
              <w:lang w:val="pl-PL" w:eastAsia="pl-PL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>
    <w:pPr>
      <w:pStyle w:val="Normal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21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02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ad602d"/>
    <w:pPr>
      <w:keepNext/>
      <w:outlineLvl w:val="0"/>
    </w:pPr>
    <w:rPr>
      <w:b/>
      <w:sz w:val="18"/>
    </w:rPr>
  </w:style>
  <w:style w:type="paragraph" w:styleId="Nagwek2">
    <w:name w:val="Heading 2"/>
    <w:basedOn w:val="Normal"/>
    <w:link w:val="Nagwek2Znak"/>
    <w:qFormat/>
    <w:rsid w:val="00ad602d"/>
    <w:pPr>
      <w:keepNext/>
      <w:shd w:val="clear" w:color="auto" w:fill="FFFFFF"/>
      <w:ind w:firstLine="14"/>
      <w:outlineLvl w:val="1"/>
    </w:pPr>
    <w:rPr>
      <w:sz w:val="24"/>
    </w:rPr>
  </w:style>
  <w:style w:type="paragraph" w:styleId="Nagwek3">
    <w:name w:val="Heading 3"/>
    <w:basedOn w:val="Normal"/>
    <w:link w:val="Nagwek3Znak"/>
    <w:qFormat/>
    <w:rsid w:val="00ad602d"/>
    <w:pPr>
      <w:keepNext/>
      <w:outlineLvl w:val="2"/>
    </w:pPr>
    <w:rPr>
      <w:b/>
      <w:sz w:val="24"/>
    </w:rPr>
  </w:style>
  <w:style w:type="paragraph" w:styleId="Nagwek4">
    <w:name w:val="Heading 4"/>
    <w:basedOn w:val="Normal"/>
    <w:link w:val="Nagwek4Znak"/>
    <w:qFormat/>
    <w:rsid w:val="00ad602d"/>
    <w:pPr>
      <w:keepNext/>
      <w:tabs>
        <w:tab w:val="left" w:pos="1440" w:leader="none"/>
      </w:tabs>
      <w:jc w:val="center"/>
      <w:outlineLvl w:val="3"/>
    </w:pPr>
    <w:rPr>
      <w:sz w:val="24"/>
    </w:rPr>
  </w:style>
  <w:style w:type="paragraph" w:styleId="Nagwek5">
    <w:name w:val="Heading 5"/>
    <w:basedOn w:val="Normal"/>
    <w:link w:val="Nagwek5Znak"/>
    <w:qFormat/>
    <w:rsid w:val="00ad602d"/>
    <w:pPr>
      <w:keepNext/>
      <w:outlineLvl w:val="4"/>
    </w:pPr>
    <w:rPr>
      <w:sz w:val="26"/>
    </w:rPr>
  </w:style>
  <w:style w:type="paragraph" w:styleId="Nagwek6">
    <w:name w:val="Heading 6"/>
    <w:basedOn w:val="Normal"/>
    <w:link w:val="Nagwek6Znak"/>
    <w:qFormat/>
    <w:rsid w:val="00ad602d"/>
    <w:pPr>
      <w:keepNext/>
      <w:outlineLvl w:val="5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ad602d"/>
    <w:rPr>
      <w:rFonts w:ascii="Times New Roman" w:hAnsi="Times New Roman" w:eastAsia="Times New Roman" w:cs="Times New Roman"/>
      <w:b/>
      <w:sz w:val="18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ad602d"/>
    <w:rPr>
      <w:rFonts w:ascii="Times New Roman" w:hAnsi="Times New Roman" w:eastAsia="Times New Roman" w:cs="Times New Roman"/>
      <w:sz w:val="24"/>
      <w:szCs w:val="20"/>
      <w:shd w:fill="FFFFFF" w:val="clear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ad602d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ad602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ad602d"/>
    <w:rPr>
      <w:rFonts w:ascii="Times New Roman" w:hAnsi="Times New Roman" w:eastAsia="Times New Roman" w:cs="Times New Roman"/>
      <w:sz w:val="26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ad602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ad602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ad602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ad602d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ad602d"/>
    <w:rPr>
      <w:rFonts w:ascii="Times New Roman" w:hAnsi="Times New Roman" w:eastAsia="Times New Roman" w:cs="Times New Roman"/>
      <w:b/>
      <w:sz w:val="30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ad602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546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6546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6546d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6546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>
    <w:name w:val="Znaki numeracji"/>
    <w:qFormat/>
    <w:rPr>
      <w:sz w:val="20"/>
      <w:szCs w:val="20"/>
    </w:rPr>
  </w:style>
  <w:style w:type="character" w:styleId="ListLabel1">
    <w:name w:val="ListLabel 1"/>
    <w:qFormat/>
    <w:rPr>
      <w:rFonts w:ascii="Times New Roman" w:hAnsi="Times New Roman" w:cs="OpenSymbol"/>
      <w:sz w:val="21"/>
    </w:rPr>
  </w:style>
  <w:style w:type="character" w:styleId="ListLabel2">
    <w:name w:val="ListLabel 2"/>
    <w:qFormat/>
    <w:rPr>
      <w:rFonts w:ascii="Times New Roman" w:hAnsi="Times New Roman"/>
      <w:sz w:val="4"/>
      <w:szCs w:val="20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sz w:val="20"/>
      <w:szCs w:val="20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ad602d"/>
    <w:pPr>
      <w:jc w:val="both"/>
    </w:pPr>
    <w:rPr>
      <w:sz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Tekstpodstawowy2Znak"/>
    <w:semiHidden/>
    <w:qFormat/>
    <w:rsid w:val="00ad602d"/>
    <w:pPr/>
    <w:rPr>
      <w:sz w:val="24"/>
    </w:rPr>
  </w:style>
  <w:style w:type="paragraph" w:styleId="PlainText">
    <w:name w:val="Plain Text"/>
    <w:basedOn w:val="Normal"/>
    <w:link w:val="ZwykytekstZnak"/>
    <w:semiHidden/>
    <w:qFormat/>
    <w:rsid w:val="00ad602d"/>
    <w:pPr/>
    <w:rPr>
      <w:rFonts w:ascii="Courier New" w:hAnsi="Courier New"/>
    </w:rPr>
  </w:style>
  <w:style w:type="paragraph" w:styleId="Standard" w:customStyle="1">
    <w:name w:val="Standard"/>
    <w:basedOn w:val="Normal"/>
    <w:qFormat/>
    <w:rsid w:val="00ad602d"/>
    <w:pPr>
      <w:widowControl w:val="false"/>
      <w:suppressAutoHyphens w:val="true"/>
    </w:pPr>
    <w:rPr>
      <w:sz w:val="24"/>
    </w:rPr>
  </w:style>
  <w:style w:type="paragraph" w:styleId="Tytu">
    <w:name w:val="Title"/>
    <w:basedOn w:val="Normal"/>
    <w:link w:val="TytuZnak"/>
    <w:qFormat/>
    <w:rsid w:val="00ad602d"/>
    <w:pPr>
      <w:jc w:val="center"/>
    </w:pPr>
    <w:rPr>
      <w:b/>
      <w:sz w:val="30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ad602d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6546d"/>
    <w:pPr/>
    <w:rPr/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16546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546d"/>
    <w:pPr/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LibreOffice/5.3.4.2$Windows_x86 LibreOffice_project/f82d347ccc0be322489bf7da61d7e4ad13fe2ff3</Application>
  <Pages>4</Pages>
  <Words>1285</Words>
  <Characters>7844</Characters>
  <CharactersWithSpaces>8926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2020-10-21T14:17:00Z</dcterms:created>
  <dc:creator>Szpital</dc:creator>
  <dc:description/>
  <dc:language>pl-PL</dc:language>
  <cp:lastModifiedBy/>
  <cp:lastPrinted>2020-11-02T12:05:06Z</cp:lastPrinted>
  <dcterms:modified xsi:type="dcterms:W3CDTF">2020-11-02T12:05:47Z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