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4954" w:rsidRDefault="008F49CB">
      <w:pPr>
        <w:tabs>
          <w:tab w:val="left" w:pos="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DZP 3320.63.21</w:t>
      </w:r>
    </w:p>
    <w:p w:rsidR="003219E6" w:rsidRDefault="00431BC0">
      <w:pPr>
        <w:tabs>
          <w:tab w:val="left" w:pos="0"/>
        </w:tabs>
        <w:jc w:val="center"/>
      </w:pPr>
      <w:r>
        <w:rPr>
          <w:sz w:val="28"/>
          <w:szCs w:val="28"/>
          <w:u w:val="single"/>
        </w:rPr>
        <w:t>OPIS PRZEDMIOTU ZAMÓWIENIA</w:t>
      </w:r>
    </w:p>
    <w:p w:rsidR="003219E6" w:rsidRDefault="00431BC0">
      <w:pPr>
        <w:jc w:val="both"/>
      </w:pPr>
      <w:r>
        <w:rPr>
          <w:i/>
          <w:iCs/>
          <w:sz w:val="28"/>
          <w:szCs w:val="28"/>
        </w:rPr>
        <w:t>Zadanie nr  1</w:t>
      </w:r>
    </w:p>
    <w:p w:rsidR="003219E6" w:rsidRDefault="00431BC0">
      <w:pPr>
        <w:jc w:val="both"/>
      </w:pPr>
      <w:r>
        <w:rPr>
          <w:b/>
          <w:bCs/>
          <w:i/>
          <w:iCs/>
          <w:sz w:val="24"/>
          <w:szCs w:val="24"/>
        </w:rPr>
        <w:t xml:space="preserve">Zamknięty system do pobierania krwi wraz z dzierżawą 1 aparatu do odczytu OB </w:t>
      </w:r>
    </w:p>
    <w:p w:rsidR="003219E6" w:rsidRDefault="00431BC0">
      <w:pPr>
        <w:jc w:val="both"/>
      </w:pPr>
      <w:r>
        <w:rPr>
          <w:b/>
          <w:bCs/>
          <w:i/>
          <w:iCs/>
          <w:sz w:val="24"/>
          <w:szCs w:val="24"/>
        </w:rPr>
        <w:t>i dzierżawą 2 wirówek laboratoryjnych</w:t>
      </w:r>
    </w:p>
    <w:p w:rsidR="003219E6" w:rsidRDefault="003219E6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"/>
        <w:gridCol w:w="449"/>
        <w:gridCol w:w="7"/>
        <w:gridCol w:w="6852"/>
        <w:gridCol w:w="1786"/>
        <w:gridCol w:w="7"/>
      </w:tblGrid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1"/>
              <w:tabs>
                <w:tab w:val="left" w:pos="0"/>
              </w:tabs>
            </w:pPr>
            <w:r>
              <w:rPr>
                <w:sz w:val="24"/>
                <w:szCs w:val="24"/>
              </w:rPr>
              <w:t>1</w:t>
            </w:r>
          </w:p>
          <w:p w:rsidR="003219E6" w:rsidRDefault="00431BC0">
            <w:pPr>
              <w:pStyle w:val="Nagwek1"/>
              <w:tabs>
                <w:tab w:val="left" w:pos="0"/>
              </w:tabs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6"/>
                <w:szCs w:val="26"/>
              </w:rPr>
              <w:t>2</w:t>
            </w:r>
          </w:p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6"/>
                <w:szCs w:val="26"/>
              </w:rPr>
              <w:t>Nazwa asortymentu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4"/>
                <w:szCs w:val="24"/>
              </w:rPr>
              <w:t>3</w:t>
            </w:r>
          </w:p>
          <w:p w:rsidR="003219E6" w:rsidRDefault="00431BC0">
            <w:pPr>
              <w:pStyle w:val="Nagwek3"/>
              <w:tabs>
                <w:tab w:val="left" w:pos="0"/>
              </w:tabs>
              <w:jc w:val="left"/>
            </w:pPr>
            <w:r>
              <w:rPr>
                <w:sz w:val="24"/>
                <w:szCs w:val="24"/>
              </w:rPr>
              <w:t>Ilość sztuk / 24 miesiące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surowicę z aktywatorem </w:t>
            </w:r>
            <w:proofErr w:type="spellStart"/>
            <w:r>
              <w:rPr>
                <w:sz w:val="24"/>
                <w:szCs w:val="24"/>
              </w:rPr>
              <w:t>wykrzepiania</w:t>
            </w:r>
            <w:proofErr w:type="spellEnd"/>
            <w:r>
              <w:rPr>
                <w:sz w:val="24"/>
                <w:szCs w:val="24"/>
              </w:rPr>
              <w:t xml:space="preserve"> i separatorem trwale oddzielającym surowicę od skrzepu,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 xml:space="preserve">. 3,0 – 5,0 ml, wymiary 13 / 75 </w:t>
            </w:r>
            <w:proofErr w:type="spellStart"/>
            <w:r>
              <w:rPr>
                <w:sz w:val="24"/>
                <w:szCs w:val="24"/>
              </w:rPr>
              <w:t>mm</w:t>
            </w:r>
            <w:proofErr w:type="spellEnd"/>
            <w:r>
              <w:rPr>
                <w:sz w:val="24"/>
                <w:szCs w:val="24"/>
              </w:rPr>
              <w:t xml:space="preserve">. Czas </w:t>
            </w:r>
            <w:proofErr w:type="spellStart"/>
            <w:r>
              <w:rPr>
                <w:sz w:val="24"/>
                <w:szCs w:val="24"/>
              </w:rPr>
              <w:t>wykrzepiania</w:t>
            </w:r>
            <w:proofErr w:type="spellEnd"/>
            <w:r>
              <w:rPr>
                <w:sz w:val="24"/>
                <w:szCs w:val="24"/>
              </w:rPr>
              <w:t xml:space="preserve"> u pacjentów nie leczonych antykoagulantami nie dłużej niż 30 min. </w:t>
            </w:r>
          </w:p>
          <w:p w:rsidR="003219E6" w:rsidRDefault="00431BC0">
            <w:pPr>
              <w:snapToGrid w:val="0"/>
            </w:pPr>
            <w:r>
              <w:rPr>
                <w:i/>
                <w:iCs/>
                <w:sz w:val="24"/>
                <w:szCs w:val="24"/>
              </w:rPr>
              <w:t>Do oferty należy dołączyć wyciąg z opisu probówki producenta.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400  000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surowicę z aktywatorem </w:t>
            </w:r>
            <w:proofErr w:type="spellStart"/>
            <w:r>
              <w:rPr>
                <w:sz w:val="24"/>
                <w:szCs w:val="24"/>
              </w:rPr>
              <w:t>wykrzepiania</w:t>
            </w:r>
            <w:proofErr w:type="spellEnd"/>
            <w:r>
              <w:rPr>
                <w:sz w:val="24"/>
                <w:szCs w:val="24"/>
              </w:rPr>
              <w:t xml:space="preserve"> i separatorem trwale oddzielającym surowicę od skrzepu,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 xml:space="preserve">. 1,0– 2,7 ml, wymiary 13 / 75 </w:t>
            </w:r>
            <w:proofErr w:type="spellStart"/>
            <w:r>
              <w:rPr>
                <w:sz w:val="24"/>
                <w:szCs w:val="24"/>
              </w:rPr>
              <w:t>mm</w:t>
            </w:r>
            <w:proofErr w:type="spellEnd"/>
            <w:r>
              <w:rPr>
                <w:sz w:val="24"/>
                <w:szCs w:val="24"/>
              </w:rPr>
              <w:t xml:space="preserve">. Czas </w:t>
            </w:r>
            <w:proofErr w:type="spellStart"/>
            <w:r>
              <w:rPr>
                <w:sz w:val="24"/>
                <w:szCs w:val="24"/>
              </w:rPr>
              <w:t>wykrzepiania</w:t>
            </w:r>
            <w:proofErr w:type="spellEnd"/>
            <w:r>
              <w:rPr>
                <w:sz w:val="24"/>
                <w:szCs w:val="24"/>
              </w:rPr>
              <w:t xml:space="preserve"> u pacjentów nie leczonych antykoagulantami nie dłużej niż 30 min. </w:t>
            </w:r>
          </w:p>
          <w:p w:rsidR="003219E6" w:rsidRDefault="00431BC0">
            <w:pPr>
              <w:snapToGrid w:val="0"/>
            </w:pPr>
            <w:r>
              <w:rPr>
                <w:i/>
                <w:iCs/>
                <w:sz w:val="24"/>
                <w:szCs w:val="24"/>
              </w:rPr>
              <w:t>Do oferty należy dołączyć wyciąg z opisu probówki producenta.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18 000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surowicę z aktywatorem </w:t>
            </w:r>
            <w:proofErr w:type="spellStart"/>
            <w:r>
              <w:rPr>
                <w:sz w:val="24"/>
                <w:szCs w:val="24"/>
              </w:rPr>
              <w:t>wykrzepiania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8,0 – 10,0 ml, z polem do opisu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18 000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morfologię z </w:t>
            </w:r>
            <w:proofErr w:type="spellStart"/>
            <w:r>
              <w:rPr>
                <w:sz w:val="24"/>
                <w:szCs w:val="24"/>
              </w:rPr>
              <w:t>K-EDTA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 xml:space="preserve">. 1,0 – 2,7 ml, wymiary 13/75 </w:t>
            </w:r>
            <w:proofErr w:type="spellStart"/>
            <w:r>
              <w:rPr>
                <w:sz w:val="24"/>
                <w:szCs w:val="24"/>
              </w:rPr>
              <w:t>mm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230 000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morfologię z </w:t>
            </w:r>
            <w:proofErr w:type="spellStart"/>
            <w:r>
              <w:rPr>
                <w:sz w:val="24"/>
                <w:szCs w:val="24"/>
              </w:rPr>
              <w:t>K-EDTA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6,0 – 8,0 ml, kolor korka inny niż probówki z poz.4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układ krzepnięcia z cytrynianem sodu 3,2 %,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 xml:space="preserve">. 2,7 - 3,0 ml, wymiary 13/75 </w:t>
            </w:r>
            <w:proofErr w:type="spellStart"/>
            <w:r>
              <w:rPr>
                <w:sz w:val="24"/>
                <w:szCs w:val="24"/>
              </w:rPr>
              <w:t>mm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98 500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na układ krzepnięcia z cytrynianem sodu 3,2 %,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 xml:space="preserve">. 1,0 -2,0 ml, wymiary 13/75 </w:t>
            </w:r>
            <w:proofErr w:type="spellStart"/>
            <w:r>
              <w:rPr>
                <w:sz w:val="24"/>
                <w:szCs w:val="24"/>
              </w:rPr>
              <w:t>mm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6 000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z fluorkiem sodu do oznaczania glukozy 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1,0 – 2,0 ml, wymiary 13/75 mm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21 000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do OB,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1,0 – 2,5 ml do zaoferowanego aparatu do odczytu OB.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10 000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z heparyną litową,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1,5 – 3,0 ml ,wymiary 13/75 mm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30 000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 xml:space="preserve">Probówko-strzykawka/probówka  do </w:t>
            </w:r>
            <w:proofErr w:type="spellStart"/>
            <w:r>
              <w:rPr>
                <w:sz w:val="24"/>
                <w:szCs w:val="24"/>
              </w:rPr>
              <w:t>pseudotrombocytopenii</w:t>
            </w:r>
            <w:proofErr w:type="spellEnd"/>
            <w:r>
              <w:rPr>
                <w:sz w:val="24"/>
                <w:szCs w:val="24"/>
              </w:rPr>
              <w:t>, poj.1,5-2,7 ml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Igła systemowa nr 8</w:t>
            </w:r>
          </w:p>
          <w:p w:rsidR="003219E6" w:rsidRDefault="00431BC0">
            <w:pPr>
              <w:snapToGrid w:val="0"/>
            </w:pPr>
            <w:r>
              <w:rPr>
                <w:i/>
                <w:iCs/>
                <w:sz w:val="24"/>
                <w:szCs w:val="24"/>
              </w:rPr>
              <w:t>Do oferty należy dołączyć deklarację zgodności i certyfikat jednostki notyfikowanej.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350 000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Igła systemowa nr 7</w:t>
            </w:r>
          </w:p>
          <w:p w:rsidR="003219E6" w:rsidRDefault="00431BC0">
            <w:pPr>
              <w:snapToGrid w:val="0"/>
            </w:pPr>
            <w:r>
              <w:rPr>
                <w:i/>
                <w:iCs/>
                <w:sz w:val="24"/>
                <w:szCs w:val="24"/>
              </w:rPr>
              <w:t>Do oferty należy dołączyć deklarację zgodności i certyfikat jednostki notyfikowanej.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 xml:space="preserve">Igła motylkowa z adapterem do posiewu krwi do butelek typu </w:t>
            </w:r>
            <w:proofErr w:type="spellStart"/>
            <w:r>
              <w:rPr>
                <w:color w:val="111111"/>
                <w:sz w:val="24"/>
                <w:szCs w:val="24"/>
              </w:rPr>
              <w:t>BactAlert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111111"/>
                <w:sz w:val="24"/>
                <w:szCs w:val="24"/>
              </w:rPr>
              <w:t>BioMerieux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) 0,8 x 19 mm, sterylna, pakowana pojedynczo, dren o długości 160 – 300 </w:t>
            </w:r>
            <w:proofErr w:type="spellStart"/>
            <w:r>
              <w:rPr>
                <w:color w:val="111111"/>
                <w:sz w:val="24"/>
                <w:szCs w:val="24"/>
              </w:rPr>
              <w:t>mm</w:t>
            </w:r>
            <w:proofErr w:type="spellEnd"/>
            <w:r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8 000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3219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219E6" w:rsidRDefault="003219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219E6" w:rsidRDefault="003219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3219E6">
            <w:pPr>
              <w:tabs>
                <w:tab w:val="left" w:pos="0"/>
              </w:tabs>
              <w:snapToGrid w:val="0"/>
              <w:spacing w:after="120"/>
              <w:jc w:val="both"/>
              <w:rPr>
                <w:color w:val="111111"/>
                <w:sz w:val="24"/>
                <w:szCs w:val="24"/>
              </w:rPr>
            </w:pPr>
          </w:p>
          <w:p w:rsidR="003219E6" w:rsidRDefault="003219E6">
            <w:pPr>
              <w:tabs>
                <w:tab w:val="left" w:pos="0"/>
              </w:tabs>
              <w:snapToGrid w:val="0"/>
              <w:spacing w:after="120"/>
              <w:jc w:val="both"/>
              <w:rPr>
                <w:color w:val="111111"/>
                <w:sz w:val="24"/>
                <w:szCs w:val="24"/>
              </w:rPr>
            </w:pPr>
          </w:p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color w:val="111111"/>
                <w:sz w:val="24"/>
                <w:szCs w:val="24"/>
              </w:rPr>
              <w:lastRenderedPageBreak/>
              <w:t xml:space="preserve">Adaptery do igieł systemowych ( jeżeli system wymaga). Średnica po obwodzie zewnętrznym, na końcu gdzie montowana jest igła , nie większa niż 19 </w:t>
            </w:r>
            <w:proofErr w:type="spellStart"/>
            <w:r>
              <w:rPr>
                <w:color w:val="111111"/>
                <w:sz w:val="24"/>
                <w:szCs w:val="24"/>
              </w:rPr>
              <w:t>mm</w:t>
            </w:r>
            <w:proofErr w:type="spellEnd"/>
            <w:r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3219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219E6" w:rsidRDefault="003219E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219E6" w:rsidRDefault="00431BC0">
            <w:pPr>
              <w:snapToGrid w:val="0"/>
              <w:jc w:val="center"/>
            </w:pPr>
            <w:r>
              <w:rPr>
                <w:sz w:val="21"/>
                <w:szCs w:val="21"/>
              </w:rPr>
              <w:t xml:space="preserve">             str. 1 z 5 </w:t>
            </w:r>
          </w:p>
          <w:p w:rsidR="00E04954" w:rsidRDefault="00E0495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04954" w:rsidRDefault="00E0495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400 000</w:t>
            </w:r>
          </w:p>
        </w:tc>
      </w:tr>
      <w:tr w:rsidR="003219E6">
        <w:trPr>
          <w:gridBefore w:val="1"/>
          <w:wBefore w:w="15" w:type="dxa"/>
        </w:trPr>
        <w:tc>
          <w:tcPr>
            <w:tcW w:w="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color w:val="111111"/>
                <w:sz w:val="24"/>
                <w:szCs w:val="24"/>
              </w:rPr>
              <w:t xml:space="preserve">Adapter </w:t>
            </w:r>
            <w:proofErr w:type="spellStart"/>
            <w:r>
              <w:rPr>
                <w:color w:val="111111"/>
                <w:sz w:val="24"/>
                <w:szCs w:val="24"/>
              </w:rPr>
              <w:t>luer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zintegrowany z uchwytem systemowym</w:t>
            </w:r>
          </w:p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i/>
                <w:iCs/>
                <w:sz w:val="24"/>
                <w:szCs w:val="24"/>
              </w:rPr>
              <w:t>Do oferty należy dołączyć deklarację zgodności  i certyfikat jednostki notyfikowanej.</w:t>
            </w:r>
          </w:p>
        </w:tc>
        <w:tc>
          <w:tcPr>
            <w:tcW w:w="1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3 000</w:t>
            </w:r>
          </w:p>
        </w:tc>
      </w:tr>
      <w:tr w:rsidR="003219E6">
        <w:trPr>
          <w:gridAfter w:val="1"/>
          <w:wAfter w:w="7" w:type="dxa"/>
        </w:trPr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 xml:space="preserve">Łącznik do </w:t>
            </w:r>
            <w:proofErr w:type="spellStart"/>
            <w:r>
              <w:rPr>
                <w:sz w:val="24"/>
                <w:szCs w:val="24"/>
              </w:rPr>
              <w:t>wenfonów</w:t>
            </w:r>
            <w:proofErr w:type="spellEnd"/>
            <w:r>
              <w:rPr>
                <w:sz w:val="24"/>
                <w:szCs w:val="24"/>
              </w:rPr>
              <w:t xml:space="preserve"> / adapter do systemu zamkniętego umożliwiający pobieranie krwi z końcówki </w:t>
            </w:r>
            <w:proofErr w:type="spellStart"/>
            <w:r>
              <w:rPr>
                <w:sz w:val="24"/>
                <w:szCs w:val="24"/>
              </w:rPr>
              <w:t>Luer</w:t>
            </w:r>
            <w:proofErr w:type="spellEnd"/>
            <w:r>
              <w:rPr>
                <w:sz w:val="24"/>
                <w:szCs w:val="24"/>
              </w:rPr>
              <w:t xml:space="preserve"> i kaniuli typu </w:t>
            </w:r>
            <w:proofErr w:type="spellStart"/>
            <w:r>
              <w:rPr>
                <w:sz w:val="24"/>
                <w:szCs w:val="24"/>
              </w:rPr>
              <w:t>wenflon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50 000</w:t>
            </w:r>
          </w:p>
        </w:tc>
      </w:tr>
      <w:tr w:rsidR="003219E6">
        <w:trPr>
          <w:gridAfter w:val="1"/>
          <w:wAfter w:w="7" w:type="dxa"/>
        </w:trPr>
        <w:tc>
          <w:tcPr>
            <w:tcW w:w="4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 xml:space="preserve">Igła motylkowa do pobrań krwi z „trudnych </w:t>
            </w:r>
            <w:proofErr w:type="spellStart"/>
            <w:r>
              <w:rPr>
                <w:sz w:val="24"/>
                <w:szCs w:val="24"/>
              </w:rPr>
              <w:t>żył”nr</w:t>
            </w:r>
            <w:proofErr w:type="spellEnd"/>
            <w:r>
              <w:rPr>
                <w:sz w:val="24"/>
                <w:szCs w:val="24"/>
              </w:rPr>
              <w:t xml:space="preserve"> 8, długość drenu max.200 mm, kompatybilna z oferowanym systemem.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10 000</w:t>
            </w:r>
          </w:p>
        </w:tc>
      </w:tr>
      <w:tr w:rsidR="003219E6">
        <w:trPr>
          <w:gridAfter w:val="1"/>
          <w:wAfter w:w="7" w:type="dxa"/>
        </w:trPr>
        <w:tc>
          <w:tcPr>
            <w:tcW w:w="4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>Inne elementy niezbędne do stosowania systemu zamkniętego.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i/>
                <w:iCs/>
                <w:sz w:val="24"/>
                <w:szCs w:val="24"/>
              </w:rPr>
              <w:t>wypisać</w:t>
            </w:r>
          </w:p>
        </w:tc>
      </w:tr>
    </w:tbl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431BC0">
      <w:pPr>
        <w:pStyle w:val="Tekstpodstawowy"/>
        <w:tabs>
          <w:tab w:val="left" w:pos="15"/>
        </w:tabs>
        <w:spacing w:after="120"/>
        <w:ind w:left="15"/>
        <w:jc w:val="both"/>
      </w:pPr>
      <w:r>
        <w:rPr>
          <w:sz w:val="26"/>
          <w:szCs w:val="26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cs="Cambria"/>
          <w:b/>
          <w:bCs/>
          <w:sz w:val="28"/>
          <w:szCs w:val="28"/>
          <w:u w:val="single"/>
          <w:lang w:bidi="ar-SA"/>
        </w:rPr>
        <w:t>Parametry graniczne dla  zamkniętego systemu do pobierania krwi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3"/>
        <w:gridCol w:w="6226"/>
        <w:gridCol w:w="1245"/>
        <w:gridCol w:w="1247"/>
      </w:tblGrid>
      <w:tr w:rsidR="003219E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jc w:val="center"/>
            </w:pP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Lp</w:t>
            </w:r>
            <w:proofErr w:type="spellEnd"/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Parametr graniczny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Warunek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konieczny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Opisać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spełnienie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TAK/NIE</w:t>
            </w:r>
          </w:p>
        </w:tc>
      </w:tr>
      <w:tr w:rsidR="003219E6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1.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Materiał, z którego są wykonane probówki jest odporny na uszkodzenia w transporcie i w czasie wirowania.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2.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 xml:space="preserve">Możliwość połączenia z tradycyjnym sprzętem typu </w:t>
            </w: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Luer</w:t>
            </w:r>
            <w:proofErr w:type="spellEnd"/>
            <w:r>
              <w:rPr>
                <w:rFonts w:cs="Cambria"/>
                <w:sz w:val="24"/>
                <w:szCs w:val="24"/>
                <w:lang w:bidi="ar-SA"/>
              </w:rPr>
              <w:t xml:space="preserve"> z   </w:t>
            </w:r>
          </w:p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 xml:space="preserve"> zachowaniem zasad systemu zamkniętego.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ind w:left="-250" w:firstLine="25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3.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System zamknięty musi posiadać konstrukcję umożliwiającą optyczną kontrolę pobierania krwi, tzn. uchwyty, probówki, wężyki igieł motylkowych muszą być przejrzyste aby był widoczny napływający strumień krwi.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4.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Wszystkie elementy oferowanego systemu zamkniętego muszą być w pełni kompatybilne.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5.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>Kompletny zestaw do pobrania krwi składa się maksymalnie z 3 elementów (igła, adapter, probówka).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6.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 xml:space="preserve">W ofercie zostanie uwzględnione wstępne przeszkolenie personelu Laboratorium i wszystkich oddziałów Szpitala w </w:t>
            </w:r>
          </w:p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 xml:space="preserve">zakresie obsługi systemu. Po okresie 12  miesięcy zostanie przeprowadzone dla wymienionych grup szkolenie przypominające w formie osobistej lub </w:t>
            </w: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e-learningowej</w:t>
            </w:r>
            <w:proofErr w:type="spellEnd"/>
            <w:r>
              <w:rPr>
                <w:rFonts w:cs="Cambria"/>
                <w:sz w:val="24"/>
                <w:szCs w:val="24"/>
                <w:lang w:bidi="ar-SA"/>
              </w:rPr>
              <w:t>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tabs>
                <w:tab w:val="left" w:pos="0"/>
              </w:tabs>
              <w:snapToGrid w:val="0"/>
              <w:spacing w:before="40" w:after="40"/>
              <w:jc w:val="right"/>
            </w:pPr>
          </w:p>
          <w:p w:rsidR="003219E6" w:rsidRDefault="003219E6">
            <w:pPr>
              <w:tabs>
                <w:tab w:val="left" w:pos="0"/>
              </w:tabs>
              <w:snapToGrid w:val="0"/>
              <w:spacing w:before="40" w:after="40"/>
              <w:jc w:val="right"/>
            </w:pPr>
          </w:p>
          <w:p w:rsidR="003219E6" w:rsidRDefault="003219E6">
            <w:pPr>
              <w:tabs>
                <w:tab w:val="left" w:pos="0"/>
              </w:tabs>
              <w:snapToGrid w:val="0"/>
              <w:spacing w:before="40" w:after="40"/>
              <w:jc w:val="right"/>
            </w:pPr>
          </w:p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  <w:p w:rsidR="003219E6" w:rsidRDefault="003219E6">
            <w:pPr>
              <w:tabs>
                <w:tab w:val="left" w:pos="0"/>
              </w:tabs>
              <w:snapToGrid w:val="0"/>
              <w:spacing w:before="40" w:after="40"/>
              <w:jc w:val="right"/>
            </w:pPr>
          </w:p>
        </w:tc>
      </w:tr>
    </w:tbl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431BC0">
      <w:pPr>
        <w:tabs>
          <w:tab w:val="left" w:pos="0"/>
        </w:tabs>
        <w:snapToGrid w:val="0"/>
        <w:spacing w:before="40" w:after="40"/>
        <w:jc w:val="right"/>
      </w:pPr>
      <w:r>
        <w:t>Str. 2 z 5</w:t>
      </w:r>
    </w:p>
    <w:p w:rsidR="003219E6" w:rsidRDefault="003219E6">
      <w:pPr>
        <w:tabs>
          <w:tab w:val="left" w:pos="0"/>
        </w:tabs>
        <w:snapToGrid w:val="0"/>
        <w:spacing w:before="40" w:after="40"/>
        <w:jc w:val="right"/>
      </w:pPr>
    </w:p>
    <w:p w:rsidR="003219E6" w:rsidRDefault="00431BC0">
      <w:pPr>
        <w:tabs>
          <w:tab w:val="left" w:pos="0"/>
        </w:tabs>
      </w:pPr>
      <w:r>
        <w:rPr>
          <w:b/>
          <w:bCs/>
          <w:sz w:val="28"/>
          <w:szCs w:val="28"/>
        </w:rPr>
        <w:lastRenderedPageBreak/>
        <w:t xml:space="preserve">Parametry oceniane  </w:t>
      </w:r>
      <w:r>
        <w:rPr>
          <w:rFonts w:cs="Cambria"/>
          <w:b/>
          <w:bCs/>
          <w:sz w:val="28"/>
          <w:szCs w:val="28"/>
          <w:u w:val="single"/>
          <w:lang w:bidi="ar-SA"/>
        </w:rPr>
        <w:t>zamkniętego systemu do pobierania krwi</w:t>
      </w:r>
    </w:p>
    <w:p w:rsidR="003219E6" w:rsidRDefault="003219E6">
      <w:pPr>
        <w:tabs>
          <w:tab w:val="left" w:pos="0"/>
        </w:tabs>
        <w:rPr>
          <w:rFonts w:cs="Cambria"/>
          <w:b/>
          <w:bCs/>
          <w:sz w:val="28"/>
          <w:szCs w:val="28"/>
          <w:u w:val="single"/>
          <w:lang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4"/>
        <w:gridCol w:w="4741"/>
        <w:gridCol w:w="1755"/>
        <w:gridCol w:w="1992"/>
      </w:tblGrid>
      <w:tr w:rsidR="003219E6">
        <w:trPr>
          <w:trHeight w:val="660"/>
        </w:trPr>
        <w:tc>
          <w:tcPr>
            <w:tcW w:w="5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74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Parametry oceniane</w:t>
            </w:r>
          </w:p>
        </w:tc>
        <w:tc>
          <w:tcPr>
            <w:tcW w:w="17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Punktacja</w:t>
            </w:r>
          </w:p>
        </w:tc>
        <w:tc>
          <w:tcPr>
            <w:tcW w:w="1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Opisać spełnienie</w:t>
            </w:r>
          </w:p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TAK / NIE</w:t>
            </w:r>
          </w:p>
        </w:tc>
      </w:tr>
      <w:tr w:rsidR="003219E6">
        <w:tc>
          <w:tcPr>
            <w:tcW w:w="5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t>1.</w:t>
            </w:r>
          </w:p>
        </w:tc>
        <w:tc>
          <w:tcPr>
            <w:tcW w:w="47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rFonts w:cs="Cambria"/>
                <w:sz w:val="24"/>
                <w:szCs w:val="24"/>
                <w:lang w:bidi="ar-SA"/>
              </w:rPr>
              <w:t>Wszystkie elementy systemu zamkniętego pochodzą od jednego producenta.</w:t>
            </w:r>
          </w:p>
          <w:p w:rsidR="003219E6" w:rsidRDefault="003219E6">
            <w:pPr>
              <w:pStyle w:val="Zawartotabeli"/>
              <w:rPr>
                <w:rFonts w:cs="Cambria"/>
                <w:i/>
                <w:iCs/>
                <w:color w:val="C9211E"/>
                <w:sz w:val="24"/>
                <w:szCs w:val="24"/>
                <w:lang w:bidi="ar-SA"/>
              </w:rPr>
            </w:pPr>
          </w:p>
        </w:tc>
        <w:tc>
          <w:tcPr>
            <w:tcW w:w="17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TAK  - 20 pkt.</w:t>
            </w:r>
          </w:p>
          <w:p w:rsidR="003219E6" w:rsidRDefault="003219E6">
            <w:pPr>
              <w:pStyle w:val="Zawartotabeli"/>
              <w:rPr>
                <w:b/>
                <w:bCs/>
                <w:sz w:val="22"/>
                <w:szCs w:val="22"/>
              </w:rPr>
            </w:pPr>
          </w:p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 xml:space="preserve"> NIE – 0 pkt.</w:t>
            </w:r>
          </w:p>
        </w:tc>
        <w:tc>
          <w:tcPr>
            <w:tcW w:w="199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219E6" w:rsidRDefault="003219E6">
            <w:pPr>
              <w:pStyle w:val="Zawartotabeli"/>
            </w:pPr>
          </w:p>
        </w:tc>
      </w:tr>
      <w:tr w:rsidR="003219E6">
        <w:trPr>
          <w:trHeight w:val="765"/>
        </w:trPr>
        <w:tc>
          <w:tcPr>
            <w:tcW w:w="5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t>2.</w:t>
            </w:r>
          </w:p>
        </w:tc>
        <w:tc>
          <w:tcPr>
            <w:tcW w:w="47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rFonts w:cs="Cambria"/>
                <w:sz w:val="24"/>
                <w:szCs w:val="24"/>
                <w:lang w:bidi="ar-SA"/>
              </w:rPr>
              <w:t>Probówki z pozycji 1, 2, 4, 6, 7, 8, 10 posiadają zamknięcie zakręcane.</w:t>
            </w:r>
          </w:p>
        </w:tc>
        <w:tc>
          <w:tcPr>
            <w:tcW w:w="17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>TAK  - 20 pkt.</w:t>
            </w:r>
          </w:p>
          <w:p w:rsidR="003219E6" w:rsidRDefault="003219E6">
            <w:pPr>
              <w:pStyle w:val="Zawartotabeli"/>
              <w:rPr>
                <w:b/>
                <w:bCs/>
                <w:sz w:val="22"/>
                <w:szCs w:val="22"/>
              </w:rPr>
            </w:pPr>
          </w:p>
          <w:p w:rsidR="003219E6" w:rsidRDefault="00431BC0">
            <w:pPr>
              <w:pStyle w:val="Zawartotabeli"/>
            </w:pPr>
            <w:r>
              <w:rPr>
                <w:b/>
                <w:bCs/>
                <w:sz w:val="22"/>
                <w:szCs w:val="22"/>
              </w:rPr>
              <w:t xml:space="preserve"> NIE – 0 pkt.</w:t>
            </w:r>
          </w:p>
        </w:tc>
        <w:tc>
          <w:tcPr>
            <w:tcW w:w="199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219E6" w:rsidRDefault="003219E6">
            <w:pPr>
              <w:pStyle w:val="Zawartotabeli"/>
            </w:pPr>
          </w:p>
        </w:tc>
      </w:tr>
    </w:tbl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3219E6">
      <w:pPr>
        <w:tabs>
          <w:tab w:val="left" w:pos="0"/>
        </w:tabs>
        <w:jc w:val="right"/>
      </w:pPr>
    </w:p>
    <w:p w:rsidR="003219E6" w:rsidRDefault="00431BC0">
      <w:pPr>
        <w:tabs>
          <w:tab w:val="left" w:pos="0"/>
        </w:tabs>
        <w:snapToGrid w:val="0"/>
        <w:spacing w:before="40" w:after="40"/>
        <w:jc w:val="right"/>
      </w:pPr>
      <w:r>
        <w:t>Str. 3 z 5</w:t>
      </w:r>
    </w:p>
    <w:p w:rsidR="003219E6" w:rsidRDefault="003219E6">
      <w:pPr>
        <w:tabs>
          <w:tab w:val="left" w:pos="0"/>
        </w:tabs>
        <w:jc w:val="right"/>
      </w:pPr>
    </w:p>
    <w:p w:rsidR="005173E6" w:rsidRDefault="005173E6">
      <w:pPr>
        <w:pStyle w:val="Tekstpodstawowy"/>
        <w:tabs>
          <w:tab w:val="left" w:pos="15"/>
        </w:tabs>
        <w:spacing w:after="120"/>
        <w:ind w:left="15"/>
        <w:jc w:val="both"/>
        <w:rPr>
          <w:sz w:val="26"/>
          <w:szCs w:val="26"/>
        </w:rPr>
      </w:pPr>
    </w:p>
    <w:p w:rsidR="005173E6" w:rsidRDefault="005173E6">
      <w:pPr>
        <w:pStyle w:val="Tekstpodstawowy"/>
        <w:tabs>
          <w:tab w:val="left" w:pos="15"/>
        </w:tabs>
        <w:spacing w:after="120"/>
        <w:ind w:left="15"/>
        <w:jc w:val="both"/>
        <w:rPr>
          <w:sz w:val="26"/>
          <w:szCs w:val="26"/>
        </w:rPr>
      </w:pPr>
    </w:p>
    <w:p w:rsidR="003219E6" w:rsidRDefault="00431BC0">
      <w:pPr>
        <w:pStyle w:val="Tekstpodstawowy"/>
        <w:tabs>
          <w:tab w:val="left" w:pos="15"/>
        </w:tabs>
        <w:spacing w:after="120"/>
        <w:ind w:left="15"/>
        <w:jc w:val="both"/>
      </w:pPr>
      <w:r>
        <w:rPr>
          <w:sz w:val="26"/>
          <w:szCs w:val="26"/>
        </w:rPr>
        <w:lastRenderedPageBreak/>
        <w:t xml:space="preserve"> </w:t>
      </w:r>
      <w:r>
        <w:rPr>
          <w:sz w:val="30"/>
          <w:szCs w:val="30"/>
        </w:rPr>
        <w:t xml:space="preserve"> </w:t>
      </w:r>
      <w:r>
        <w:rPr>
          <w:rFonts w:cs="Cambria"/>
          <w:b/>
          <w:bCs/>
          <w:sz w:val="28"/>
          <w:szCs w:val="28"/>
          <w:u w:val="single"/>
          <w:lang w:bidi="ar-SA"/>
        </w:rPr>
        <w:t xml:space="preserve">Parametry graniczne  dla aparatu do pomiaru OB </w:t>
      </w:r>
      <w:r>
        <w:rPr>
          <w:rFonts w:cs="Cambria"/>
          <w:sz w:val="28"/>
          <w:szCs w:val="28"/>
          <w:u w:val="single"/>
          <w:lang w:bidi="ar-SA"/>
        </w:rPr>
        <w:t>( dzierżawa)</w:t>
      </w: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526"/>
        <w:gridCol w:w="4853"/>
        <w:gridCol w:w="1310"/>
        <w:gridCol w:w="1245"/>
        <w:gridCol w:w="1236"/>
        <w:gridCol w:w="11"/>
      </w:tblGrid>
      <w:tr w:rsidR="003219E6" w:rsidTr="00F56306">
        <w:trPr>
          <w:gridAfter w:val="1"/>
          <w:wAfter w:w="11" w:type="dxa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F56306">
            <w:pPr>
              <w:snapToGrid w:val="0"/>
            </w:pPr>
            <w:r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L</w:t>
            </w:r>
            <w:r w:rsidR="00431BC0"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p</w:t>
            </w:r>
            <w:r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Opis</w:t>
            </w: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After w:val="1"/>
          <w:wAfter w:w="11" w:type="dxa"/>
        </w:trPr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1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Wykonawca/Producent</w:t>
            </w:r>
          </w:p>
        </w:tc>
        <w:tc>
          <w:tcPr>
            <w:tcW w:w="3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After w:val="1"/>
          <w:wAfter w:w="11" w:type="dxa"/>
        </w:trPr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2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Nazwa – model /  typ</w:t>
            </w:r>
          </w:p>
        </w:tc>
        <w:tc>
          <w:tcPr>
            <w:tcW w:w="3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After w:val="1"/>
          <w:wAfter w:w="11" w:type="dxa"/>
        </w:trPr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3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Rok produkcji</w:t>
            </w:r>
          </w:p>
        </w:tc>
        <w:tc>
          <w:tcPr>
            <w:tcW w:w="3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 w:rsidP="00F56306">
            <w:pPr>
              <w:snapToGrid w:val="0"/>
              <w:spacing w:before="40" w:after="40"/>
              <w:jc w:val="center"/>
            </w:pPr>
            <w:r>
              <w:rPr>
                <w:rFonts w:cs="Cambria"/>
                <w:sz w:val="24"/>
                <w:szCs w:val="24"/>
                <w:lang w:bidi="ar-SA"/>
              </w:rPr>
              <w:t>Lp</w:t>
            </w:r>
            <w:r w:rsidR="00F56306">
              <w:rPr>
                <w:rFonts w:cs="Cambria"/>
                <w:sz w:val="24"/>
                <w:szCs w:val="24"/>
                <w:lang w:bidi="ar-SA"/>
              </w:rPr>
              <w:t>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Parametr graniczny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Warunek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konieczny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Opisać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spełnienie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TAK/NIE</w:t>
            </w: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1.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 w:rsidP="00CA7F24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Aparat wyprodukowany nie wcześniej niż w 2013 r</w:t>
            </w:r>
            <w:r w:rsidR="00CA7F24">
              <w:rPr>
                <w:rFonts w:cs="Cambria"/>
                <w:sz w:val="24"/>
                <w:szCs w:val="24"/>
                <w:lang w:bidi="ar-SA"/>
              </w:rPr>
              <w:t>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2.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Automatyczny system do odczytu OB.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3.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>Detekcja nieprawidłowo pobranych próbek.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ind w:left="-250" w:firstLine="25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4.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Aparat wyposażony w zewnętrzny czytnik kodów kreskowych z probówek.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5.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Wynik odczytu OB podawany jest po 1 godzinie lub po jednej i dwóch godzinach.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6.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Drukarka wewnętrzna lub zewnętrzna.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7.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Wydajność aparatu nie mniej niż 20 oznaczeń / 1 godzinę.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8.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Aparat wyposażony w mieszadło wewnętrzne lub dołączone mieszadło zewnętrzne obrotowe.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9.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 xml:space="preserve">Integracja aparatu z laboratoryjnym systemem informatycznym ( </w:t>
            </w: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InfoMedica</w:t>
            </w:r>
            <w:proofErr w:type="spellEnd"/>
            <w:r>
              <w:rPr>
                <w:rFonts w:cs="Cambria"/>
                <w:sz w:val="24"/>
                <w:szCs w:val="24"/>
                <w:lang w:bidi="ar-SA"/>
              </w:rPr>
              <w:t xml:space="preserve"> – </w:t>
            </w: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Asseco</w:t>
            </w:r>
            <w:proofErr w:type="spellEnd"/>
            <w:r>
              <w:rPr>
                <w:rFonts w:cs="Cambria"/>
                <w:sz w:val="24"/>
                <w:szCs w:val="24"/>
                <w:lang w:bidi="ar-SA"/>
              </w:rPr>
              <w:t>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10.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W ofercie zostanie uwzględnione przeszkolenie personelu Laboratorium w zakresie obsługi aparatu ( 5 osób).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F5630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 xml:space="preserve">Udział w </w:t>
            </w:r>
            <w:proofErr w:type="spellStart"/>
            <w:r>
              <w:rPr>
                <w:sz w:val="24"/>
                <w:szCs w:val="24"/>
              </w:rPr>
              <w:t>zewnątrzlaboratoryjnym</w:t>
            </w:r>
            <w:proofErr w:type="spellEnd"/>
            <w:r>
              <w:rPr>
                <w:sz w:val="24"/>
                <w:szCs w:val="24"/>
              </w:rPr>
              <w:t xml:space="preserve"> programie kontroli jakości OB.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Co najmniej 2 cykle w roku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jc w:val="center"/>
            </w:pPr>
          </w:p>
        </w:tc>
      </w:tr>
    </w:tbl>
    <w:p w:rsidR="003219E6" w:rsidRDefault="003219E6">
      <w:pPr>
        <w:tabs>
          <w:tab w:val="left" w:pos="0"/>
        </w:tabs>
      </w:pPr>
    </w:p>
    <w:p w:rsidR="003219E6" w:rsidRDefault="00431BC0">
      <w:pPr>
        <w:pStyle w:val="Tekstpodstawowy"/>
        <w:tabs>
          <w:tab w:val="left" w:pos="15"/>
        </w:tabs>
        <w:spacing w:after="120"/>
        <w:ind w:left="15"/>
        <w:jc w:val="both"/>
      </w:pPr>
      <w:r>
        <w:rPr>
          <w:sz w:val="26"/>
          <w:szCs w:val="26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cs="Cambria"/>
          <w:b/>
          <w:bCs/>
          <w:sz w:val="28"/>
          <w:szCs w:val="28"/>
          <w:u w:val="single"/>
          <w:lang w:bidi="ar-SA"/>
        </w:rPr>
        <w:t>Parametry graniczne  dla 2 wirówek laboratoryjnych (</w:t>
      </w:r>
      <w:r>
        <w:rPr>
          <w:rFonts w:cs="Cambria"/>
          <w:sz w:val="28"/>
          <w:szCs w:val="28"/>
          <w:u w:val="single"/>
          <w:lang w:bidi="ar-SA"/>
        </w:rPr>
        <w:t>dzierżawa)</w:t>
      </w: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526"/>
        <w:gridCol w:w="4853"/>
        <w:gridCol w:w="1310"/>
        <w:gridCol w:w="1245"/>
        <w:gridCol w:w="1236"/>
        <w:gridCol w:w="11"/>
      </w:tblGrid>
      <w:tr w:rsidR="003219E6" w:rsidTr="009E01C6">
        <w:trPr>
          <w:gridAfter w:val="1"/>
          <w:wAfter w:w="11" w:type="dxa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9E01C6">
            <w:pPr>
              <w:snapToGrid w:val="0"/>
            </w:pPr>
            <w:r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L</w:t>
            </w:r>
            <w:r w:rsidR="00431BC0"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p</w:t>
            </w:r>
            <w:r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  <w:t>Opis</w:t>
            </w: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b/>
                <w:bCs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After w:val="1"/>
          <w:wAfter w:w="11" w:type="dxa"/>
        </w:trPr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1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Wykonawca/Producent</w:t>
            </w:r>
          </w:p>
        </w:tc>
        <w:tc>
          <w:tcPr>
            <w:tcW w:w="3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After w:val="1"/>
          <w:wAfter w:w="11" w:type="dxa"/>
        </w:trPr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2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Nazwa – model /  typ</w:t>
            </w:r>
          </w:p>
        </w:tc>
        <w:tc>
          <w:tcPr>
            <w:tcW w:w="3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After w:val="1"/>
          <w:wAfter w:w="11" w:type="dxa"/>
        </w:trPr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3</w:t>
            </w:r>
          </w:p>
        </w:tc>
        <w:tc>
          <w:tcPr>
            <w:tcW w:w="4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rFonts w:cs="Cambria"/>
                <w:color w:val="111111"/>
                <w:sz w:val="24"/>
                <w:szCs w:val="24"/>
                <w:lang w:bidi="ar-SA"/>
              </w:rPr>
              <w:t>Rok produkcji</w:t>
            </w:r>
          </w:p>
        </w:tc>
        <w:tc>
          <w:tcPr>
            <w:tcW w:w="37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rPr>
                <w:rFonts w:cs="Cambria"/>
                <w:color w:val="111111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jc w:val="center"/>
            </w:pPr>
            <w:r>
              <w:rPr>
                <w:rFonts w:cs="Cambria"/>
                <w:sz w:val="24"/>
                <w:szCs w:val="24"/>
                <w:lang w:bidi="ar-SA"/>
              </w:rPr>
              <w:t>Lp</w:t>
            </w:r>
            <w:r w:rsidR="009E01C6">
              <w:rPr>
                <w:rFonts w:cs="Cambria"/>
                <w:sz w:val="24"/>
                <w:szCs w:val="24"/>
                <w:lang w:bidi="ar-SA"/>
              </w:rPr>
              <w:t>.</w:t>
            </w:r>
          </w:p>
        </w:tc>
        <w:tc>
          <w:tcPr>
            <w:tcW w:w="6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Parametr graniczny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Warunek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konieczny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Opisać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spełnienie</w:t>
            </w:r>
          </w:p>
          <w:p w:rsidR="003219E6" w:rsidRDefault="00431BC0">
            <w:pPr>
              <w:snapToGrid w:val="0"/>
              <w:spacing w:before="40" w:after="40"/>
              <w:ind w:right="110"/>
              <w:jc w:val="both"/>
            </w:pPr>
            <w:r>
              <w:rPr>
                <w:rFonts w:cs="Cambria"/>
                <w:sz w:val="24"/>
                <w:szCs w:val="24"/>
                <w:lang w:bidi="ar-SA"/>
              </w:rPr>
              <w:t>TAK/NIE</w:t>
            </w: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1.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 xml:space="preserve">Rok produkcji  nie wcześniej niż  2015 </w:t>
            </w: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r</w:t>
            </w:r>
            <w:proofErr w:type="spellEnd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2.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Rotor wychylny.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3.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>Ilość gniazd nie mniej niż po 24.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  <w:ind w:left="-250" w:firstLine="25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ind w:left="-250" w:firstLine="25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4.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Regulowana wielkość obrotów oraz czas wirowania.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5.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Rotory kompatybilne z zaoferowanymi probówkami.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lastRenderedPageBreak/>
              <w:t>6.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lastRenderedPageBreak/>
              <w:t xml:space="preserve">Prędkość wirowania w zakresie od co najmniej 300 do co najmniej 5 000 </w:t>
            </w:r>
            <w:proofErr w:type="spellStart"/>
            <w:r>
              <w:rPr>
                <w:rFonts w:cs="Cambria"/>
                <w:sz w:val="24"/>
                <w:szCs w:val="24"/>
                <w:lang w:bidi="ar-SA"/>
              </w:rPr>
              <w:t>obr</w:t>
            </w:r>
            <w:proofErr w:type="spellEnd"/>
            <w:r>
              <w:rPr>
                <w:rFonts w:cs="Cambria"/>
                <w:sz w:val="24"/>
                <w:szCs w:val="24"/>
                <w:lang w:bidi="ar-SA"/>
              </w:rPr>
              <w:t xml:space="preserve"> / min.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lastRenderedPageBreak/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before="40" w:after="40"/>
              <w:jc w:val="right"/>
            </w:pPr>
            <w:r>
              <w:lastRenderedPageBreak/>
              <w:t>Str. 4 z 5</w:t>
            </w:r>
          </w:p>
          <w:p w:rsidR="003219E6" w:rsidRDefault="003219E6">
            <w:pPr>
              <w:tabs>
                <w:tab w:val="left" w:pos="0"/>
              </w:tabs>
              <w:snapToGrid w:val="0"/>
              <w:spacing w:before="40" w:after="40"/>
              <w:jc w:val="right"/>
            </w:pPr>
          </w:p>
        </w:tc>
      </w:tr>
      <w:tr w:rsidR="003219E6" w:rsidTr="009E01C6">
        <w:trPr>
          <w:gridBefore w:val="1"/>
          <w:wBefore w:w="10" w:type="dxa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lastRenderedPageBreak/>
              <w:t>7.</w:t>
            </w:r>
          </w:p>
        </w:tc>
        <w:tc>
          <w:tcPr>
            <w:tcW w:w="6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Funkcja programowania szybkości przyspieszenia i hamowania.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  <w:spacing w:before="40" w:after="40"/>
            </w:pPr>
            <w:r>
              <w:rPr>
                <w:rFonts w:cs="Cambria"/>
                <w:sz w:val="24"/>
                <w:szCs w:val="24"/>
                <w:lang w:bidi="ar-SA"/>
              </w:rPr>
              <w:t>TAK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3219E6">
            <w:pPr>
              <w:snapToGrid w:val="0"/>
              <w:spacing w:before="40" w:after="40"/>
              <w:rPr>
                <w:rFonts w:cs="Cambria"/>
                <w:sz w:val="24"/>
                <w:szCs w:val="24"/>
                <w:lang w:bidi="ar-SA"/>
              </w:rPr>
            </w:pPr>
          </w:p>
        </w:tc>
      </w:tr>
    </w:tbl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431BC0">
      <w:pPr>
        <w:tabs>
          <w:tab w:val="left" w:pos="0"/>
        </w:tabs>
      </w:pPr>
      <w:r>
        <w:rPr>
          <w:sz w:val="24"/>
          <w:szCs w:val="24"/>
        </w:rPr>
        <w:t>W odniesieniu do sprzętu dzierżawionego (aparat do pomiaru OB i dwu wirówek):</w:t>
      </w:r>
    </w:p>
    <w:p w:rsidR="003219E6" w:rsidRDefault="00431BC0">
      <w:pPr>
        <w:numPr>
          <w:ilvl w:val="0"/>
          <w:numId w:val="2"/>
        </w:numPr>
        <w:tabs>
          <w:tab w:val="left" w:pos="0"/>
        </w:tabs>
      </w:pPr>
      <w:r>
        <w:rPr>
          <w:sz w:val="24"/>
          <w:szCs w:val="24"/>
        </w:rPr>
        <w:t>Należy podać dane teleadresowe jednostki, która będzie świadczyła obsługę serwisową.</w:t>
      </w:r>
    </w:p>
    <w:p w:rsidR="003219E6" w:rsidRDefault="00431BC0">
      <w:pPr>
        <w:numPr>
          <w:ilvl w:val="0"/>
          <w:numId w:val="2"/>
        </w:numPr>
        <w:tabs>
          <w:tab w:val="left" w:pos="0"/>
        </w:tabs>
      </w:pPr>
      <w:r>
        <w:rPr>
          <w:sz w:val="24"/>
          <w:szCs w:val="24"/>
        </w:rPr>
        <w:t>Termin dostawy sprzętu – 15 dni roboczych od dnia zawarcia umowy.</w:t>
      </w:r>
    </w:p>
    <w:p w:rsidR="003219E6" w:rsidRDefault="003219E6">
      <w:pPr>
        <w:tabs>
          <w:tab w:val="left" w:pos="0"/>
        </w:tabs>
        <w:jc w:val="right"/>
      </w:pPr>
    </w:p>
    <w:p w:rsidR="003219E6" w:rsidRDefault="00431BC0">
      <w:pPr>
        <w:tabs>
          <w:tab w:val="left" w:pos="0"/>
        </w:tabs>
        <w:jc w:val="both"/>
      </w:pPr>
      <w:r>
        <w:rPr>
          <w:i/>
          <w:iCs/>
          <w:sz w:val="28"/>
          <w:szCs w:val="28"/>
        </w:rPr>
        <w:t>Zadanie nr  2</w:t>
      </w:r>
    </w:p>
    <w:p w:rsidR="003219E6" w:rsidRDefault="00431BC0">
      <w:pPr>
        <w:tabs>
          <w:tab w:val="left" w:pos="0"/>
        </w:tabs>
        <w:jc w:val="both"/>
      </w:pPr>
      <w:r>
        <w:rPr>
          <w:b/>
          <w:bCs/>
          <w:i/>
          <w:iCs/>
          <w:sz w:val="24"/>
          <w:szCs w:val="24"/>
        </w:rPr>
        <w:t>Probówki do pobierania krwi włośniczkowej ( mikrometoda)</w:t>
      </w:r>
    </w:p>
    <w:p w:rsidR="003219E6" w:rsidRDefault="003219E6">
      <w:pPr>
        <w:tabs>
          <w:tab w:val="left" w:pos="0"/>
        </w:tabs>
        <w:rPr>
          <w:sz w:val="28"/>
          <w:szCs w:val="28"/>
        </w:rPr>
      </w:pP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6855"/>
        <w:gridCol w:w="1787"/>
      </w:tblGrid>
      <w:tr w:rsidR="003219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1"/>
              <w:tabs>
                <w:tab w:val="left" w:pos="0"/>
              </w:tabs>
            </w:pPr>
            <w:r>
              <w:rPr>
                <w:sz w:val="24"/>
                <w:szCs w:val="24"/>
              </w:rPr>
              <w:t>1</w:t>
            </w:r>
          </w:p>
          <w:p w:rsidR="003219E6" w:rsidRDefault="00431BC0">
            <w:pPr>
              <w:pStyle w:val="Nagwek1"/>
              <w:tabs>
                <w:tab w:val="left" w:pos="0"/>
              </w:tabs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6"/>
                <w:szCs w:val="26"/>
              </w:rPr>
              <w:t>2</w:t>
            </w:r>
          </w:p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6"/>
                <w:szCs w:val="26"/>
              </w:rPr>
              <w:t>Nazwa asortymentu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4"/>
                <w:szCs w:val="24"/>
              </w:rPr>
              <w:t>3</w:t>
            </w:r>
          </w:p>
          <w:p w:rsidR="003219E6" w:rsidRDefault="00431BC0">
            <w:pPr>
              <w:pStyle w:val="Nagwek3"/>
              <w:tabs>
                <w:tab w:val="left" w:pos="0"/>
              </w:tabs>
              <w:jc w:val="left"/>
            </w:pPr>
            <w:r>
              <w:rPr>
                <w:sz w:val="24"/>
                <w:szCs w:val="24"/>
              </w:rPr>
              <w:t>Ilość sztuk</w:t>
            </w:r>
          </w:p>
        </w:tc>
      </w:tr>
      <w:tr w:rsidR="003219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Probówka do pozyskiwania krwi włośniczkowej na badania hematologiczne, z K – EDTA, z kapilarą, pojemność 200 – 500 ul.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5 500</w:t>
            </w:r>
          </w:p>
        </w:tc>
      </w:tr>
      <w:tr w:rsidR="003219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Probówka do pozyskiwania krwi włośniczkowej na badania biochemiczne, z kapilarą, pojemność 200 – 800 ul.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4 700</w:t>
            </w:r>
          </w:p>
        </w:tc>
      </w:tr>
      <w:tr w:rsidR="003219E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Probówka do pozyskiwania krwi włośniczkowej na badania glukozy z fluorkiem sodu, z kapilarą,  pojemność 200 – 800 ul.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 700</w:t>
            </w:r>
          </w:p>
        </w:tc>
      </w:tr>
    </w:tbl>
    <w:p w:rsidR="003219E6" w:rsidRDefault="003219E6">
      <w:pPr>
        <w:tabs>
          <w:tab w:val="left" w:pos="0"/>
        </w:tabs>
        <w:rPr>
          <w:sz w:val="24"/>
          <w:szCs w:val="24"/>
        </w:rPr>
      </w:pPr>
    </w:p>
    <w:p w:rsidR="003219E6" w:rsidRDefault="00431BC0">
      <w:pPr>
        <w:tabs>
          <w:tab w:val="left" w:pos="0"/>
        </w:tabs>
        <w:jc w:val="both"/>
      </w:pPr>
      <w:r>
        <w:rPr>
          <w:i/>
          <w:iCs/>
          <w:sz w:val="28"/>
          <w:szCs w:val="28"/>
        </w:rPr>
        <w:t>Zadanie nr  3</w:t>
      </w:r>
    </w:p>
    <w:p w:rsidR="003219E6" w:rsidRDefault="00431BC0">
      <w:pPr>
        <w:tabs>
          <w:tab w:val="left" w:pos="0"/>
        </w:tabs>
        <w:jc w:val="both"/>
      </w:pPr>
      <w:r>
        <w:rPr>
          <w:b/>
          <w:bCs/>
          <w:i/>
          <w:iCs/>
          <w:sz w:val="24"/>
          <w:szCs w:val="24"/>
        </w:rPr>
        <w:t>Probówki do metody manualnej oraz inne akcesoria niezbędne do obsługi pobierania krwi</w:t>
      </w:r>
    </w:p>
    <w:p w:rsidR="003219E6" w:rsidRDefault="003219E6">
      <w:pPr>
        <w:tabs>
          <w:tab w:val="left" w:pos="0"/>
        </w:tabs>
        <w:rPr>
          <w:sz w:val="28"/>
          <w:szCs w:val="28"/>
        </w:rPr>
      </w:pP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6741"/>
        <w:gridCol w:w="1787"/>
      </w:tblGrid>
      <w:tr w:rsidR="003219E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1"/>
              <w:tabs>
                <w:tab w:val="left" w:pos="0"/>
              </w:tabs>
            </w:pPr>
            <w:r>
              <w:rPr>
                <w:sz w:val="24"/>
                <w:szCs w:val="24"/>
              </w:rPr>
              <w:t>1</w:t>
            </w:r>
          </w:p>
          <w:p w:rsidR="003219E6" w:rsidRDefault="00431BC0">
            <w:pPr>
              <w:pStyle w:val="Nagwek1"/>
              <w:tabs>
                <w:tab w:val="left" w:pos="0"/>
              </w:tabs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6"/>
                <w:szCs w:val="26"/>
              </w:rPr>
              <w:t>2</w:t>
            </w:r>
          </w:p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6"/>
                <w:szCs w:val="26"/>
              </w:rPr>
              <w:t>Nazwa asortymentu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9E6" w:rsidRDefault="00431BC0">
            <w:pPr>
              <w:pStyle w:val="Nagwek3"/>
              <w:tabs>
                <w:tab w:val="left" w:pos="0"/>
              </w:tabs>
            </w:pPr>
            <w:r>
              <w:rPr>
                <w:sz w:val="24"/>
                <w:szCs w:val="24"/>
              </w:rPr>
              <w:t>3</w:t>
            </w:r>
          </w:p>
          <w:p w:rsidR="003219E6" w:rsidRDefault="00431BC0">
            <w:pPr>
              <w:pStyle w:val="Nagwek3"/>
              <w:tabs>
                <w:tab w:val="left" w:pos="0"/>
              </w:tabs>
              <w:jc w:val="left"/>
            </w:pPr>
            <w:r>
              <w:rPr>
                <w:sz w:val="24"/>
                <w:szCs w:val="24"/>
              </w:rPr>
              <w:t>Ilość sztuk</w:t>
            </w:r>
          </w:p>
        </w:tc>
      </w:tr>
      <w:tr w:rsidR="003219E6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Rurka / pipeta wyskalowana do manualnego odczytu OB.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</w:tr>
      <w:tr w:rsidR="003219E6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Statyw do OB metodą manualną.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3219E6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snapToGrid w:val="0"/>
            </w:pPr>
            <w:r>
              <w:rPr>
                <w:sz w:val="24"/>
                <w:szCs w:val="24"/>
              </w:rPr>
              <w:t>Probówko-strzykawka/probówka do OB metodą manualną, poj.1,0 – 2,5 ml z polem do opisu.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  <w:tr w:rsidR="003219E6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proofErr w:type="spellStart"/>
            <w:r>
              <w:rPr>
                <w:sz w:val="24"/>
                <w:szCs w:val="24"/>
              </w:rPr>
              <w:t>Staza</w:t>
            </w:r>
            <w:proofErr w:type="spellEnd"/>
            <w:r>
              <w:rPr>
                <w:sz w:val="24"/>
                <w:szCs w:val="24"/>
              </w:rPr>
              <w:t xml:space="preserve"> wielokrotnego użytku, </w:t>
            </w:r>
            <w:proofErr w:type="spellStart"/>
            <w:r>
              <w:rPr>
                <w:sz w:val="24"/>
                <w:szCs w:val="24"/>
              </w:rPr>
              <w:t>bezlateksowa</w:t>
            </w:r>
            <w:proofErr w:type="spellEnd"/>
            <w:r>
              <w:rPr>
                <w:sz w:val="24"/>
                <w:szCs w:val="24"/>
              </w:rPr>
              <w:t>, z regulatorem uścisku i z przyciskiem odpięcia.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3219E6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proofErr w:type="spellStart"/>
            <w:r>
              <w:rPr>
                <w:sz w:val="24"/>
                <w:szCs w:val="24"/>
              </w:rPr>
              <w:t>Staza</w:t>
            </w:r>
            <w:proofErr w:type="spellEnd"/>
            <w:r>
              <w:rPr>
                <w:sz w:val="24"/>
                <w:szCs w:val="24"/>
              </w:rPr>
              <w:t xml:space="preserve"> jednorazowego użytku, </w:t>
            </w:r>
            <w:proofErr w:type="spellStart"/>
            <w:r>
              <w:rPr>
                <w:sz w:val="24"/>
                <w:szCs w:val="24"/>
              </w:rPr>
              <w:t>bezlateksowa</w:t>
            </w:r>
            <w:proofErr w:type="spellEnd"/>
            <w:r>
              <w:rPr>
                <w:sz w:val="24"/>
                <w:szCs w:val="24"/>
              </w:rPr>
              <w:t xml:space="preserve">, z perforacją umożliwiającą rozdzielenie odcinków </w:t>
            </w:r>
            <w:proofErr w:type="spellStart"/>
            <w:r>
              <w:rPr>
                <w:sz w:val="24"/>
                <w:szCs w:val="24"/>
              </w:rPr>
              <w:t>staz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33 000</w:t>
            </w:r>
          </w:p>
        </w:tc>
      </w:tr>
      <w:tr w:rsidR="003219E6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9E6" w:rsidRDefault="00431BC0">
            <w:pPr>
              <w:tabs>
                <w:tab w:val="left" w:pos="0"/>
              </w:tabs>
              <w:snapToGrid w:val="0"/>
              <w:spacing w:after="120"/>
              <w:jc w:val="both"/>
            </w:pPr>
            <w:r>
              <w:rPr>
                <w:sz w:val="24"/>
                <w:szCs w:val="24"/>
              </w:rPr>
              <w:t xml:space="preserve">Marker czarny permanentny do pisania na szkle i plastiku, grubość kreski do 1 </w:t>
            </w:r>
            <w:proofErr w:type="spellStart"/>
            <w:r>
              <w:rPr>
                <w:sz w:val="24"/>
                <w:szCs w:val="24"/>
              </w:rPr>
              <w:t>mm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9E6" w:rsidRDefault="00431BC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400 </w:t>
            </w:r>
          </w:p>
        </w:tc>
      </w:tr>
    </w:tbl>
    <w:p w:rsidR="003219E6" w:rsidRDefault="00431BC0">
      <w:pPr>
        <w:tabs>
          <w:tab w:val="left" w:pos="0"/>
        </w:tabs>
        <w:jc w:val="right"/>
      </w:pPr>
      <w:r>
        <w:t>Str. 5 z 5</w:t>
      </w:r>
    </w:p>
    <w:p w:rsidR="003A2683" w:rsidRDefault="003A2683">
      <w:pPr>
        <w:rPr>
          <w:sz w:val="28"/>
        </w:rPr>
      </w:pPr>
    </w:p>
    <w:sectPr w:rsidR="003A2683" w:rsidSect="0032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proofState w:spelling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3A2683"/>
    <w:rsid w:val="001E157E"/>
    <w:rsid w:val="0022396E"/>
    <w:rsid w:val="003219E6"/>
    <w:rsid w:val="003A2683"/>
    <w:rsid w:val="00431BC0"/>
    <w:rsid w:val="005173E6"/>
    <w:rsid w:val="008F49CB"/>
    <w:rsid w:val="009E01C6"/>
    <w:rsid w:val="00CA7F24"/>
    <w:rsid w:val="00E04954"/>
    <w:rsid w:val="00F5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E6"/>
    <w:pPr>
      <w:suppressAutoHyphens/>
    </w:pPr>
    <w:rPr>
      <w:lang w:bidi="pl-PL"/>
    </w:rPr>
  </w:style>
  <w:style w:type="paragraph" w:styleId="Nagwek1">
    <w:name w:val="heading 1"/>
    <w:basedOn w:val="Normalny"/>
    <w:next w:val="Normalny"/>
    <w:qFormat/>
    <w:rsid w:val="003219E6"/>
    <w:pPr>
      <w:keepNext/>
      <w:tabs>
        <w:tab w:val="num" w:pos="0"/>
      </w:tabs>
      <w:jc w:val="center"/>
      <w:outlineLvl w:val="0"/>
    </w:pPr>
    <w:rPr>
      <w:b/>
      <w:i/>
      <w:sz w:val="32"/>
    </w:rPr>
  </w:style>
  <w:style w:type="paragraph" w:styleId="Nagwek3">
    <w:name w:val="heading 3"/>
    <w:basedOn w:val="Normalny"/>
    <w:next w:val="Normalny"/>
    <w:qFormat/>
    <w:rsid w:val="003219E6"/>
    <w:pPr>
      <w:keepNext/>
      <w:tabs>
        <w:tab w:val="num" w:pos="0"/>
      </w:tabs>
      <w:jc w:val="center"/>
      <w:outlineLvl w:val="2"/>
    </w:pPr>
    <w:rPr>
      <w:sz w:val="36"/>
    </w:rPr>
  </w:style>
  <w:style w:type="paragraph" w:styleId="Nagwek6">
    <w:name w:val="heading 6"/>
    <w:basedOn w:val="Normalny"/>
    <w:next w:val="Normalny"/>
    <w:qFormat/>
    <w:rsid w:val="003219E6"/>
    <w:pPr>
      <w:keepNext/>
      <w:tabs>
        <w:tab w:val="num" w:pos="0"/>
      </w:tabs>
      <w:jc w:val="center"/>
      <w:outlineLvl w:val="5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19E6"/>
  </w:style>
  <w:style w:type="character" w:customStyle="1" w:styleId="Domylnaczcionkaakapitu1">
    <w:name w:val="Domyślna czcionka akapitu1"/>
    <w:rsid w:val="003219E6"/>
  </w:style>
  <w:style w:type="character" w:customStyle="1" w:styleId="Znakiwypunktowania">
    <w:name w:val="Znaki wypunktowania"/>
    <w:rsid w:val="003219E6"/>
    <w:rPr>
      <w:rFonts w:ascii="OpenSymbol" w:eastAsia="OpenSymbol" w:hAnsi="OpenSymbol" w:cs="OpenSymbol"/>
    </w:rPr>
  </w:style>
  <w:style w:type="paragraph" w:styleId="Tekstpodstawowy">
    <w:name w:val="Body Text"/>
    <w:basedOn w:val="Normalny"/>
    <w:rsid w:val="003219E6"/>
    <w:rPr>
      <w:sz w:val="32"/>
    </w:rPr>
  </w:style>
  <w:style w:type="paragraph" w:styleId="Legenda">
    <w:name w:val="caption"/>
    <w:basedOn w:val="Normalny"/>
    <w:qFormat/>
    <w:rsid w:val="003219E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Normalny"/>
    <w:rsid w:val="003219E6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rsid w:val="003219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3219E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3219E6"/>
    <w:rPr>
      <w:rFonts w:cs="Tahoma"/>
    </w:rPr>
  </w:style>
  <w:style w:type="paragraph" w:customStyle="1" w:styleId="Indeks">
    <w:name w:val="Indeks"/>
    <w:basedOn w:val="Normalny"/>
    <w:rsid w:val="003219E6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3219E6"/>
    <w:pPr>
      <w:jc w:val="center"/>
    </w:pPr>
    <w:rPr>
      <w:b/>
      <w:sz w:val="32"/>
    </w:rPr>
  </w:style>
  <w:style w:type="paragraph" w:customStyle="1" w:styleId="Zawartotabeli">
    <w:name w:val="Zawartość tabeli"/>
    <w:basedOn w:val="Normalny"/>
    <w:rsid w:val="003219E6"/>
    <w:pPr>
      <w:suppressLineNumbers/>
    </w:pPr>
  </w:style>
  <w:style w:type="paragraph" w:customStyle="1" w:styleId="Nagwektabeli">
    <w:name w:val="Nagłówek tabeli"/>
    <w:basedOn w:val="Zawartotabeli"/>
    <w:rsid w:val="003219E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pital\AppData\Local\Temp\2021%20Przetarg%20system%20do%20pobierania%202021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CD21-C9F9-4149-BDE7-C6955A6A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Przetarg system do pobierania 2021-1.dot</Template>
  <TotalTime>45</TotalTime>
  <Pages>5</Pages>
  <Words>1054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9</cp:revision>
  <cp:lastPrinted>1995-11-21T16:41:00Z</cp:lastPrinted>
  <dcterms:created xsi:type="dcterms:W3CDTF">2021-11-23T11:44:00Z</dcterms:created>
  <dcterms:modified xsi:type="dcterms:W3CDTF">2021-11-26T12:32:00Z</dcterms:modified>
</cp:coreProperties>
</file>