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  <w:bCs/>
          <w:sz w:val="28"/>
          <w:szCs w:val="28"/>
          <w:u w:val="none"/>
          <w:lang w:eastAsia="pl-PL" w:bidi="pl-PL"/>
        </w:rPr>
      </w:pPr>
      <w:r>
        <w:rPr>
          <w:b/>
          <w:bCs/>
          <w:sz w:val="28"/>
          <w:szCs w:val="28"/>
          <w:u w:val="none"/>
          <w:lang w:eastAsia="pl-PL" w:bidi="pl-PL"/>
        </w:rPr>
        <w:t>AG.ZP 3320.4.20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  <w:lang w:eastAsia="pl-PL" w:bidi="pl-PL"/>
        </w:rPr>
      </w:pPr>
      <w:r>
        <w:rPr>
          <w:sz w:val="28"/>
          <w:szCs w:val="28"/>
          <w:u w:val="single"/>
          <w:lang w:eastAsia="pl-PL" w:bidi="pl-PL"/>
        </w:rPr>
        <w:t xml:space="preserve">OPIS PRZEDMIOTU ZAMÓWIENIA:  </w:t>
      </w:r>
      <w:r>
        <w:rPr>
          <w:b/>
          <w:bCs/>
          <w:i/>
          <w:iCs/>
          <w:sz w:val="28"/>
          <w:szCs w:val="28"/>
          <w:lang w:eastAsia="pl-PL" w:bidi="pl-PL"/>
        </w:rPr>
        <w:t>Odczynniki do badań biochemicznych wraz z dzierżawą dwu analizatorów biochemicznych:</w:t>
      </w:r>
    </w:p>
    <w:tbl>
      <w:tblPr>
        <w:tblW w:w="9513" w:type="dxa"/>
        <w:jc w:val="left"/>
        <w:tblInd w:w="-242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84"/>
        <w:gridCol w:w="4951"/>
        <w:gridCol w:w="3978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gwek1"/>
              <w:ind w:left="0" w:right="0" w:hanging="0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Lp.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gwek3"/>
              <w:ind w:left="0" w:right="0" w:hanging="0"/>
              <w:rPr>
                <w:sz w:val="26"/>
                <w:szCs w:val="26"/>
                <w:lang w:eastAsia="pl-PL" w:bidi="pl-PL"/>
              </w:rPr>
            </w:pPr>
            <w:r>
              <w:rPr>
                <w:sz w:val="26"/>
                <w:szCs w:val="26"/>
                <w:lang w:eastAsia="pl-PL" w:bidi="pl-PL"/>
              </w:rPr>
              <w:t>Odczynnik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3"/>
              <w:ind w:left="0" w:right="0" w:hanging="0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Ilość oznaczeń na 18 miesięcy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Białko CRP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91 300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AST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45 500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ALT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56 200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CK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3 500 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  <w:tab w:val="left" w:pos="1539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Kwas moczowy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  <w:tab w:val="left" w:pos="1539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66 800 </w:t>
            </w:r>
            <w:r>
              <w:rPr>
                <w:lang w:bidi="zxx"/>
              </w:rPr>
              <w:t xml:space="preserve"> (w tym 100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Mocznik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76 700 </w:t>
            </w:r>
            <w:r>
              <w:rPr>
                <w:lang w:bidi="zxx"/>
              </w:rPr>
              <w:t>(w tym 140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Kreatynina, metoda enzymatyczna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 xml:space="preserve">101 300  </w:t>
            </w:r>
            <w:r>
              <w:rPr>
                <w:lang w:bidi="zxx"/>
              </w:rPr>
              <w:t>(w tym 420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Magnez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13 500 </w:t>
            </w:r>
            <w:r>
              <w:rPr>
                <w:lang w:bidi="zxx"/>
              </w:rPr>
              <w:t>(w tym 100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Glukoza, metoda heksokinazowa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75 300  </w:t>
            </w:r>
            <w:r>
              <w:rPr>
                <w:lang w:bidi="zxx"/>
              </w:rPr>
              <w:t xml:space="preserve">( w tym 2 400 w płynach z jam ciała i w moczu )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10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Cholesterol całkowity*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30 300  </w:t>
            </w:r>
            <w:r>
              <w:rPr>
                <w:lang w:bidi="zxx"/>
              </w:rPr>
              <w:t>(w tym 330 w płynach z jam ciała 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Cholesterol HDL 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24 600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Triglicerydy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 xml:space="preserve">26 000 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Wapń całkowity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17 100  </w:t>
            </w:r>
            <w:r>
              <w:rPr>
                <w:lang w:bidi="zxx"/>
              </w:rPr>
              <w:t>(w tym 400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Bilirubina całkowita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41 300  </w:t>
            </w:r>
            <w:r>
              <w:rPr>
                <w:lang w:bidi="zxx"/>
              </w:rPr>
              <w:t>(w tym 330 w płynach z jam ciała 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Bilirubina bezpośrednia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4 000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Białko ultraczułe do badania płynów z jam ciała i</w:t>
            </w:r>
          </w:p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>moczu, czułość co najmniej 0,03 g/l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14 300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Fosforany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3680" w:leader="none"/>
              </w:tabs>
              <w:snapToGrid w:val="false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7 500    </w:t>
            </w:r>
            <w:r>
              <w:rPr>
                <w:lang w:bidi="zxx"/>
              </w:rPr>
              <w:t>(w tym 150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Fosfataza alkaliczna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9 600   </w:t>
            </w:r>
            <w:r>
              <w:rPr>
                <w:lang w:bidi="zxx"/>
              </w:rPr>
              <w:t>(w tym 330 w płynach z jam ciała 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Żelazo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6 600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20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Amylaza w surowicy i w moczu*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4400" w:leader="none"/>
              </w:tabs>
              <w:snapToGrid w:val="false"/>
              <w:ind w:left="360" w:hanging="360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 xml:space="preserve">11 700   </w:t>
            </w:r>
            <w:r>
              <w:rPr>
                <w:lang w:bidi="zxx"/>
              </w:rPr>
              <w:t>(w tym 2 300 w płynach z jam ciała i w moczu)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Albumina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8 300  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Białko całkowite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10 300 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Elektrolity :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    </w:t>
            </w:r>
            <w:r>
              <w:rPr>
                <w:sz w:val="24"/>
                <w:szCs w:val="24"/>
                <w:lang w:bidi="zxx"/>
              </w:rPr>
              <w:t xml:space="preserve">sód *- </w:t>
              <w:tab/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    </w:t>
            </w:r>
            <w:r>
              <w:rPr>
                <w:sz w:val="24"/>
                <w:szCs w:val="24"/>
                <w:lang w:bidi="zxx"/>
              </w:rPr>
              <w:t xml:space="preserve">potas *– </w:t>
              <w:tab/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    </w:t>
            </w:r>
            <w:r>
              <w:rPr>
                <w:sz w:val="24"/>
                <w:szCs w:val="24"/>
                <w:lang w:bidi="zxx"/>
              </w:rPr>
              <w:t xml:space="preserve">chlor *- </w:t>
              <w:tab/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125 000 </w:t>
            </w:r>
            <w:r>
              <w:rPr>
                <w:lang w:bidi="zxx"/>
              </w:rPr>
              <w:t>(w tym 400 w moczu)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137 500 </w:t>
            </w:r>
            <w:r>
              <w:rPr>
                <w:lang w:bidi="zxx"/>
              </w:rPr>
              <w:t>(w tym 400 w moczu)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      </w:t>
            </w:r>
            <w:r>
              <w:rPr>
                <w:sz w:val="24"/>
                <w:szCs w:val="24"/>
                <w:lang w:bidi="zxx"/>
              </w:rPr>
              <w:t xml:space="preserve">7 900 </w:t>
            </w:r>
            <w:r>
              <w:rPr>
                <w:lang w:bidi="zxx"/>
              </w:rPr>
              <w:t xml:space="preserve"> (w tym 360 w PMR)</w:t>
            </w:r>
            <w:r>
              <w:rPr>
                <w:sz w:val="24"/>
                <w:szCs w:val="24"/>
                <w:lang w:bidi="zxx"/>
              </w:rPr>
              <w:tab/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GGTP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5 100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LDH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  <w:lang w:bidi="zxx"/>
              </w:rPr>
              <w:t xml:space="preserve">8 600  </w:t>
            </w:r>
            <w:r>
              <w:rPr>
                <w:lang w:bidi="zxx"/>
              </w:rPr>
              <w:t>(w tym 330 w płynach z jam ciała )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! HbA1c </w:t>
              <w:tab/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7 500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! Wankomycyna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4 200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! Mleczany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5 300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29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! Immunoglobuliny IgA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>800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30.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! Immunoglobuliny IgG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900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31.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  <w:lang w:bidi="zxx"/>
              </w:rPr>
              <w:t>! Immunoglobuliny IgM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>800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32.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Lipaza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</w:r>
          </w:p>
          <w:p>
            <w:pPr>
              <w:pStyle w:val="Normal"/>
              <w:snapToGrid w:val="false"/>
              <w:jc w:val="right"/>
              <w:rPr>
                <w:lang w:bidi="zxx"/>
              </w:rPr>
            </w:pPr>
            <w:r>
              <w:rPr>
                <w:lang w:bidi="zxx"/>
              </w:rPr>
              <w:t>Str. 1 z 5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7 700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33.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! Alkohol etylowy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500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34.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  <w:lang w:bidi="zxx"/>
              </w:rPr>
              <w:t xml:space="preserve">! TIBC/UIBC ( </w:t>
            </w:r>
            <w:r>
              <w:rPr>
                <w:i/>
                <w:iCs/>
                <w:sz w:val="24"/>
                <w:szCs w:val="24"/>
                <w:lang w:bidi="zxx"/>
              </w:rPr>
              <w:t>w przypadku zaoferowania UIBC Wykonawca uwzględni w oferc</w:t>
            </w:r>
            <w:r>
              <w:rPr>
                <w:sz w:val="24"/>
                <w:szCs w:val="24"/>
                <w:lang w:bidi="zxx"/>
              </w:rPr>
              <w:t xml:space="preserve">ie </w:t>
            </w:r>
            <w:r>
              <w:rPr>
                <w:i/>
                <w:iCs/>
                <w:sz w:val="24"/>
                <w:szCs w:val="24"/>
                <w:lang w:bidi="zxx"/>
              </w:rPr>
              <w:t>inne testy niezbędne do wyliczenia TIBC)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 </w:t>
            </w:r>
            <w:r>
              <w:rPr>
                <w:sz w:val="24"/>
                <w:szCs w:val="24"/>
                <w:lang w:bidi="zxx"/>
              </w:rPr>
              <w:t>800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35.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LDL -cholesterol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9 300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36.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Program zewnątrz laboratoryjnej kontroli jakości badań dla co najmniej 23 różnych metod z częstością co najmniej 2 razy w roku.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4 cykle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37.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Materiały kontrolne do wszystkich podanych metod stosowanych do oznaczeń w surowicy/osoczu , w moczu i w płynach z jam ciała na co najmniej 2 poziomach z wyznaczonymi wartościami dla </w:t>
              <w:tab/>
              <w:t xml:space="preserve">oferowanych analizatorów oraz materiały kontrolne dla ultraczułego białka </w:t>
              <w:tab/>
              <w:t>całkowitego oznaczanego w płynie mózgowo- rdzeniowym na co najmniej 1 poziomie  z wyznaczonymi wartościami dla oferowanych analizatorów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4"/>
                <w:szCs w:val="24"/>
                <w:lang w:bidi="zxx"/>
              </w:rPr>
              <w:t xml:space="preserve">Harmonogram </w:t>
            </w:r>
          </w:p>
          <w:p>
            <w:pPr>
              <w:pStyle w:val="Normal"/>
              <w:snapToGrid w:val="false"/>
              <w:jc w:val="both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wewnątrz laboratoryjnej kontroli jakości dla parametrów z pozycji : </w:t>
            </w:r>
          </w:p>
          <w:p>
            <w:pPr>
              <w:pStyle w:val="Tretekstu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- 1  – 25 ( z wyj. 16) i 32, 35 -1 raz dziennie na 1 poziomie ( zamiennie), na dwu aparatach</w:t>
            </w:r>
          </w:p>
          <w:p>
            <w:pPr>
              <w:pStyle w:val="Tretekstu"/>
              <w:rPr/>
            </w:pPr>
            <w:r>
              <w:rPr>
                <w:sz w:val="24"/>
                <w:szCs w:val="24"/>
                <w:lang w:bidi="zxx"/>
              </w:rPr>
              <w:t>- 26 – 34 ( z wyj. 32) – 1 raz w tygodniu na 1 poziomie ( zamiennie), na jednym aparacie</w:t>
            </w:r>
          </w:p>
          <w:p>
            <w:pPr>
              <w:pStyle w:val="Tretekstu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- 16 - 1 raz w tygodniu na 1 poziomie  ( zamiennie), na dwu aparatach</w:t>
            </w:r>
          </w:p>
          <w:p>
            <w:pPr>
              <w:pStyle w:val="Tretekstu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>- badania w moczu : pozycje 7, 9, 13, 23- 1 raz w tygodniu na 1 poziomie ( zamiennie), na jednym aparacie</w:t>
            </w:r>
          </w:p>
          <w:p>
            <w:pPr>
              <w:pStyle w:val="Tretekstu"/>
              <w:spacing w:before="0" w:after="120"/>
              <w:rPr/>
            </w:pPr>
            <w:r>
              <w:rPr>
                <w:sz w:val="24"/>
                <w:szCs w:val="24"/>
                <w:lang w:bidi="zxx"/>
              </w:rPr>
              <w:t>- badania w moczu : pozycje 5, 6, 8,17, 22 – 3 razy w miesiącu na 1 poziomie ( zamiennie), na jednym aparacie.</w:t>
            </w:r>
          </w:p>
        </w:tc>
      </w:tr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 xml:space="preserve">38.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Wszystkie pozostałe odczynniki (kontrole, kalibratory , płyny myjące, bufory) , materiały  eksploatacyjne niezbędne do wykonania wymienionej ilości oznaczeń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bidi="zxx"/>
              </w:rPr>
            </w:pPr>
            <w:r>
              <w:rPr>
                <w:sz w:val="24"/>
                <w:szCs w:val="24"/>
                <w:lang w:bidi="zxx"/>
              </w:rPr>
              <w:t xml:space="preserve">--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u w:val="single"/>
          <w:lang w:eastAsia="pl-PL" w:bidi="pl-PL"/>
        </w:rPr>
      </w:pPr>
      <w:r>
        <w:rPr>
          <w:sz w:val="24"/>
          <w:szCs w:val="24"/>
          <w:u w:val="single"/>
          <w:lang w:eastAsia="pl-PL" w:bidi="pl-PL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u w:val="single"/>
          <w:lang w:eastAsia="pl-PL" w:bidi="pl-PL"/>
        </w:rPr>
      </w:pPr>
      <w:r>
        <w:rPr>
          <w:sz w:val="24"/>
          <w:szCs w:val="24"/>
          <w:u w:val="single"/>
          <w:lang w:eastAsia="pl-PL" w:bidi="pl-PL"/>
        </w:rPr>
        <w:t>Informacje dodatkowe :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eastAsia="pl-PL" w:bidi="pl-PL"/>
        </w:rPr>
        <w:t>1.</w:t>
      </w:r>
      <w:r>
        <w:rPr>
          <w:b/>
          <w:bCs/>
          <w:sz w:val="24"/>
          <w:szCs w:val="24"/>
          <w:lang w:eastAsia="pl-PL" w:bidi="pl-PL"/>
        </w:rPr>
        <w:t xml:space="preserve"> Gwiazdką *</w:t>
      </w:r>
      <w:r>
        <w:rPr>
          <w:sz w:val="24"/>
          <w:szCs w:val="24"/>
          <w:lang w:eastAsia="pl-PL" w:bidi="pl-PL"/>
        </w:rPr>
        <w:t xml:space="preserve"> oznaczono badania wykonywane</w:t>
      </w:r>
      <w:r>
        <w:rPr>
          <w:sz w:val="24"/>
          <w:szCs w:val="24"/>
          <w:lang w:bidi="zxx"/>
        </w:rPr>
        <w:t xml:space="preserve"> w surowicy, osoczu , w moczu oraz w</w:t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 </w:t>
      </w:r>
      <w:r>
        <w:rPr>
          <w:sz w:val="24"/>
          <w:szCs w:val="24"/>
          <w:lang w:bidi="zxx"/>
        </w:rPr>
        <w:t>płynach z jam ciała.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bidi="zxx"/>
        </w:rPr>
        <w:t xml:space="preserve">2. </w:t>
      </w:r>
      <w:r>
        <w:rPr>
          <w:b/>
          <w:bCs/>
          <w:sz w:val="24"/>
          <w:szCs w:val="24"/>
          <w:lang w:bidi="zxx"/>
        </w:rPr>
        <w:t xml:space="preserve">Wykrzyknikiem ! </w:t>
      </w:r>
      <w:r>
        <w:rPr>
          <w:sz w:val="24"/>
          <w:szCs w:val="24"/>
          <w:lang w:bidi="zxx"/>
        </w:rPr>
        <w:t>oznaczono badania wykonywane na jednym analizatorze.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eastAsia="pl-PL" w:bidi="pl-PL"/>
        </w:rPr>
        <w:t xml:space="preserve">3. Zamawiający pod pojęciem </w:t>
      </w:r>
      <w:r>
        <w:rPr>
          <w:b/>
          <w:bCs/>
          <w:i/>
          <w:iCs/>
          <w:sz w:val="24"/>
          <w:szCs w:val="24"/>
          <w:lang w:eastAsia="pl-PL" w:bidi="pl-PL"/>
        </w:rPr>
        <w:t xml:space="preserve">oznaczenia </w:t>
      </w:r>
      <w:r>
        <w:rPr>
          <w:sz w:val="24"/>
          <w:szCs w:val="24"/>
          <w:lang w:eastAsia="pl-PL" w:bidi="pl-PL"/>
        </w:rPr>
        <w:t>rozumie ilość wszystkich testów, jakie będą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eastAsia="pl-PL" w:bidi="pl-PL"/>
        </w:rPr>
        <w:t xml:space="preserve">    </w:t>
      </w:r>
      <w:r>
        <w:rPr>
          <w:sz w:val="24"/>
          <w:szCs w:val="24"/>
          <w:lang w:eastAsia="pl-PL" w:bidi="pl-PL"/>
        </w:rPr>
        <w:t xml:space="preserve">wykorzystane w trakcie trwania umowy do badania próbek pacjentów, kalibracji, kontroli </w:t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    </w:t>
      </w:r>
      <w:r>
        <w:rPr>
          <w:sz w:val="24"/>
          <w:szCs w:val="24"/>
          <w:lang w:eastAsia="pl-PL" w:bidi="pl-PL"/>
        </w:rPr>
        <w:t>jakości  i powtórek.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eastAsia="pl-PL" w:bidi="pl-PL"/>
        </w:rPr>
        <w:t xml:space="preserve">4.  Zamawiający w ilości oznaczeń </w:t>
      </w:r>
      <w:r>
        <w:rPr>
          <w:b/>
          <w:bCs/>
          <w:sz w:val="24"/>
          <w:szCs w:val="24"/>
          <w:lang w:eastAsia="pl-PL" w:bidi="pl-PL"/>
        </w:rPr>
        <w:t xml:space="preserve">nie uwzględnił </w:t>
      </w:r>
      <w:r>
        <w:rPr>
          <w:sz w:val="24"/>
          <w:szCs w:val="24"/>
          <w:lang w:eastAsia="pl-PL" w:bidi="pl-PL"/>
        </w:rPr>
        <w:t>ilości testów do wykonania prób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eastAsia="pl-PL" w:bidi="pl-PL"/>
        </w:rPr>
        <w:t xml:space="preserve">    </w:t>
      </w:r>
      <w:r>
        <w:rPr>
          <w:sz w:val="24"/>
          <w:szCs w:val="24"/>
          <w:lang w:eastAsia="pl-PL" w:bidi="pl-PL"/>
        </w:rPr>
        <w:t>ślepych i innych oznaczeń wykonywanych przez systemy biochemiczne niezbędnych</w:t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   </w:t>
      </w:r>
      <w:r>
        <w:rPr>
          <w:sz w:val="24"/>
          <w:szCs w:val="24"/>
          <w:lang w:eastAsia="pl-PL" w:bidi="pl-PL"/>
        </w:rPr>
        <w:t xml:space="preserve">do prawidłowego utrzymania metod badawczych. Wykonawca doliczy te dodatkowe </w:t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 xml:space="preserve">    </w:t>
      </w:r>
      <w:r>
        <w:rPr>
          <w:sz w:val="24"/>
          <w:szCs w:val="24"/>
          <w:lang w:eastAsia="pl-PL" w:bidi="pl-PL"/>
        </w:rPr>
        <w:t>ilości i uwzględni je w ofercie 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sz w:val="24"/>
          <w:szCs w:val="24"/>
          <w:lang w:bidi="zxx"/>
        </w:rPr>
        <w:t xml:space="preserve">5.  Przy obliczaniu ilości potrzebnych opakowań Wykonawca   </w:t>
      </w:r>
      <w:r>
        <w:rPr>
          <w:b/>
          <w:bCs/>
          <w:sz w:val="24"/>
          <w:szCs w:val="24"/>
          <w:lang w:bidi="zxx"/>
        </w:rPr>
        <w:t>uwzględni  trwałość</w:t>
      </w:r>
    </w:p>
    <w:p>
      <w:pPr>
        <w:pStyle w:val="Normal"/>
        <w:tabs>
          <w:tab w:val="clear" w:pos="708"/>
          <w:tab w:val="left" w:pos="0" w:leader="none"/>
        </w:tabs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  </w:t>
      </w:r>
      <w:r>
        <w:rPr>
          <w:sz w:val="24"/>
          <w:szCs w:val="24"/>
          <w:lang w:bidi="zxx"/>
        </w:rPr>
        <w:t>zestawów odczynnikowych na pokładach analizatorów.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  <w:t xml:space="preserve">Str. 2 z 5 </w:t>
      </w:r>
    </w:p>
    <w:p>
      <w:pPr>
        <w:pStyle w:val="Tretekstu"/>
        <w:rPr/>
      </w:pPr>
      <w:r>
        <w:rPr>
          <w:sz w:val="24"/>
          <w:szCs w:val="24"/>
          <w:lang w:bidi="zxx"/>
        </w:rPr>
        <w:t xml:space="preserve">6. Wykonawca </w:t>
      </w:r>
      <w:r>
        <w:rPr>
          <w:b/>
          <w:bCs/>
          <w:sz w:val="24"/>
          <w:szCs w:val="24"/>
          <w:lang w:bidi="zxx"/>
        </w:rPr>
        <w:t>oświadczy</w:t>
      </w:r>
      <w:r>
        <w:rPr>
          <w:sz w:val="24"/>
          <w:szCs w:val="24"/>
          <w:lang w:bidi="zxx"/>
        </w:rPr>
        <w:t>, że wskazany w formularzu ofertowym asortyment materiałów</w:t>
      </w:r>
    </w:p>
    <w:p>
      <w:pPr>
        <w:pStyle w:val="Tretekstu"/>
        <w:jc w:val="both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</w:t>
      </w:r>
      <w:r>
        <w:rPr>
          <w:sz w:val="24"/>
          <w:szCs w:val="24"/>
          <w:lang w:bidi="zxx"/>
        </w:rPr>
        <w:t>eksploatacyjnych , płynów i odczynników dodatkowych szacowanych przez       Wykonawcę</w:t>
      </w:r>
    </w:p>
    <w:p>
      <w:pPr>
        <w:pStyle w:val="Tretekstu"/>
        <w:jc w:val="both"/>
        <w:rPr/>
      </w:pPr>
      <w:r>
        <w:rPr>
          <w:sz w:val="24"/>
          <w:szCs w:val="24"/>
          <w:lang w:bidi="zxx"/>
        </w:rPr>
        <w:t xml:space="preserve">  </w:t>
      </w:r>
      <w:r>
        <w:rPr>
          <w:sz w:val="24"/>
          <w:szCs w:val="24"/>
          <w:lang w:bidi="zxx"/>
        </w:rPr>
        <w:t xml:space="preserve">jest wystarczający do prawidłowego wykonania ilości oznaczeń określonej  </w:t>
      </w:r>
    </w:p>
    <w:p>
      <w:pPr>
        <w:pStyle w:val="Tretekstu"/>
        <w:jc w:val="both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</w:t>
      </w:r>
      <w:r>
        <w:rPr>
          <w:sz w:val="24"/>
          <w:szCs w:val="24"/>
          <w:lang w:bidi="zxx"/>
        </w:rPr>
        <w:t xml:space="preserve">przez Zamawiającego. </w:t>
      </w:r>
    </w:p>
    <w:p>
      <w:pPr>
        <w:pStyle w:val="Tretekstu"/>
        <w:rPr/>
      </w:pPr>
      <w:r>
        <w:rPr>
          <w:sz w:val="24"/>
          <w:szCs w:val="24"/>
          <w:lang w:bidi="zxx"/>
        </w:rPr>
        <w:t xml:space="preserve">  </w:t>
      </w:r>
      <w:r>
        <w:rPr>
          <w:sz w:val="24"/>
          <w:szCs w:val="24"/>
          <w:lang w:bidi="zxx"/>
        </w:rPr>
        <w:t xml:space="preserve">W przypadku </w:t>
      </w:r>
      <w:r>
        <w:rPr>
          <w:b/>
          <w:bCs/>
          <w:sz w:val="24"/>
          <w:szCs w:val="24"/>
          <w:lang w:bidi="zxx"/>
        </w:rPr>
        <w:t>nie uwzględnienia</w:t>
      </w:r>
      <w:r>
        <w:rPr>
          <w:sz w:val="24"/>
          <w:szCs w:val="24"/>
          <w:lang w:bidi="zxx"/>
        </w:rPr>
        <w:t xml:space="preserve"> wystarczającej ilości materiałów eksploatacyjnych , 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</w:t>
      </w:r>
      <w:r>
        <w:rPr>
          <w:sz w:val="24"/>
          <w:szCs w:val="24"/>
          <w:lang w:bidi="zxx"/>
        </w:rPr>
        <w:t xml:space="preserve">płynów, odczynników dodatkowych szacowanych przez Wykonawcę potrzebnych do 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</w:t>
      </w:r>
      <w:r>
        <w:rPr>
          <w:sz w:val="24"/>
          <w:szCs w:val="24"/>
          <w:lang w:bidi="zxx"/>
        </w:rPr>
        <w:t xml:space="preserve">wykonania ilości  oznaczeń określonej przez Zamawiającego, Wykonawca zobowiązuje 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</w:t>
      </w:r>
      <w:r>
        <w:rPr>
          <w:sz w:val="24"/>
          <w:szCs w:val="24"/>
          <w:lang w:bidi="zxx"/>
        </w:rPr>
        <w:t xml:space="preserve">się do bezpłatnego zapewnienia tego asortymentu Zamawiającemu. 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7. Wykonawca  dołączy do pierwszej dostawy  instrukcje obsługi i konserwacji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 </w:t>
      </w:r>
      <w:r>
        <w:rPr>
          <w:sz w:val="24"/>
          <w:szCs w:val="24"/>
          <w:lang w:bidi="zxx"/>
        </w:rPr>
        <w:t xml:space="preserve">analizatorów, ulotki odczynnikowe i karty charakterystyk substancji niebezpiecznych </w:t>
      </w:r>
    </w:p>
    <w:p>
      <w:pPr>
        <w:pStyle w:val="Tretekstu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    </w:t>
      </w:r>
      <w:r>
        <w:rPr>
          <w:sz w:val="24"/>
          <w:szCs w:val="24"/>
          <w:lang w:bidi="zxx"/>
        </w:rPr>
        <w:t>oraz wykaz metod badawczych, wartości prawidłowych  i zakresów pomiarowych .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  <w:t>8. Zamawiający zastrzega sobie prawo żądania kart katalogowych , instrukcji,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szczegółowych informacji i opisów zaoferowanych produktów w przypadku wystąpienia 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wątpliwości co do zgodności oferty z wymaganiami.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Parametry graniczne dla dwu analizatorów biochemicznych</w:t>
      </w:r>
    </w:p>
    <w:p>
      <w:pPr>
        <w:pStyle w:val="Tretekstu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tbl>
      <w:tblPr>
        <w:tblW w:w="9518" w:type="dxa"/>
        <w:jc w:val="left"/>
        <w:tblInd w:w="-2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954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Parametry techniczno -eksploatacyjne wymagane dla obu analizatorów</w:t>
            </w:r>
          </w:p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Dwa analizatory biochemiczne wolnostojące, w pełni automatyczne, wieloparametrowe , do badań rutynowych i cito, z automatycznym podajnikiem próbek. 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w języku polskim.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Oba analizatory fabrycznie nowe lub używane i odnowione, wyprodukowane nie wcześniej niż w  2017 r. 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Statywy na próbki są zróżnicowane kolorystycznie pod względem oznaczanego materiału, są wstawiane do automatycznego podajnika bez przerywania pracy analizatorów.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Chłodzone przedziały odczynnikowe 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 xml:space="preserve">Wydajność jednego analizatora  (dużego) minimum </w:t>
            </w:r>
            <w:r>
              <w:rPr>
                <w:color w:val="000000"/>
                <w:sz w:val="24"/>
                <w:szCs w:val="24"/>
              </w:rPr>
              <w:t xml:space="preserve">800 testów </w:t>
            </w:r>
            <w:r>
              <w:rPr>
                <w:sz w:val="24"/>
                <w:szCs w:val="24"/>
              </w:rPr>
              <w:t>fotometrycznych na godzinę i minimum</w:t>
            </w:r>
            <w:r>
              <w:rPr>
                <w:color w:val="111111"/>
                <w:sz w:val="24"/>
                <w:szCs w:val="24"/>
              </w:rPr>
              <w:t xml:space="preserve"> 400 </w:t>
            </w:r>
            <w:r>
              <w:rPr>
                <w:sz w:val="24"/>
                <w:szCs w:val="24"/>
              </w:rPr>
              <w:t xml:space="preserve">testów ISE (Na, K, Cl) na godzinę. Wydajność drugiego analizatora (mniejszego) minimum </w:t>
            </w:r>
            <w:r>
              <w:rPr>
                <w:color w:val="1C1C1C"/>
                <w:sz w:val="24"/>
                <w:szCs w:val="24"/>
              </w:rPr>
              <w:t>400 te</w:t>
            </w:r>
            <w:r>
              <w:rPr>
                <w:sz w:val="24"/>
                <w:szCs w:val="24"/>
              </w:rPr>
              <w:t>stów fotometrycznych na godzinę i minimum 4</w:t>
            </w:r>
            <w:r>
              <w:rPr>
                <w:color w:val="1C1C1C"/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testów ISE (Na, K, Cl) na godzinę. W materiałach producenta podano wymagane wydajności analizatorów.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Automatyczne monitorowanie ilości odczynników na pokładach analizatorów.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analizatory pracujące w systemie tzw.” mokrej chemii”.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analizatory pracujące całodobowo, w trybie „pacjent po pacjencie”.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Wykonywanie badań cito bez przerywania ciągłości pracy analizatorów. 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Otwarty system odczynnikowy umożliwiający wykonywanie badań z zakresu chemii klinicznej, białek specyficznych, monitorowania  leków , z  zastosowaniem metody fotometrii, turbidymetrii i potencjometrii  pośredniej lub bezpośredniej 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right"/>
              <w:rPr/>
            </w:pPr>
            <w:r>
              <w:rPr/>
              <w:t xml:space="preserve">str. 3 z 5 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50 pozycji odczynnikowych na pokładzie  analizatora dużego (  o wydajności 800 testów) i minimum 35  na pokładzie  analizatora mniejszego ( o wydajności 400 testów).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Każdy analizator posiada wbudowany zintegrowany  moduł ISE z możliwością wymiany i zakupu pojedynczych elektrod w module, pozwalający na jednoczesne oznaczanie sodu, potasu i chlorków metodą potencjometrii pośredniej lub bezpośredniej ze stabilnością kalibracji nie krótszą niż 24 godz.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oznaczeń w próbkach pierwotnych i wtórnych.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oznaczeń w surowicy, osoczu, moczu  i w płynach z jam ciała.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Dwukierunkowa komunikacja z laboratoryjnym systemem informatycznym obsługującym Laboratorium ( Asseco), podłączenie obu analizatorów do LIS, uwzględnione w ofercie, zostanie dokonane w terminie ustalonym z Zamawiającym, nie później niż  7 dni od daty instalacji. Wykonawca jest zobowiązany przy każdej zmianie wersji oprogramowania do zadbania, aby oba analizatory współpracowały z LIS Zamawiającego.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Analizatory są wyposażone w zewnętrzne i wewnętrzne czytniki kodów kreskowych.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Odczynniki, próbki pacjentów, kalibratorów i materiałów kontrolnych  są identyfikowane na podstawie kodów kreskowych w każdym miejscu w analizatorze.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Automatyczna detekcja skrzepu w próbce, zbyt małej ilości próbki i poziomu odczynnika.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Automatyczne rozcieńczanie próbki i powtórna analiza po przekroczeniu zakresu pomiarowego.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Kuwety reakcyjne wielorazowego użytku, ze szkła kwarcowego , bez konieczności wymiany przez użytkownika w okresie trwania umowy 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Stacja uzdatniania wody do każdego analizatora o wydajności dostosowanej do potrzeb.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</w:rPr>
              <w:t>Serwis stacji uzdatniania wody, materiały eksploatacyjne , w tym filtry wody oraz odbiór zużytych filtrów do stacji wody zapewni Wykonawca.</w:t>
            </w:r>
            <w:r>
              <w:rPr/>
              <w:t xml:space="preserve">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Analizator, odczynniki i kalibratory stanowią w co najmniej 90 % spójny system analityczno – odczynnikowy , czyli pochodzą od tego samego producenta.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 systemy w pełni kompatybilne ze sobą, wykonujące pełen panel badań w oparciu o jednakowe odczynniki, kalibratory, materiały kontrolne  i zużywalne.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odrębnego wykalibrowania dwu różnych serii jednego rodzaju odczynnika 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 ma możliwość zachowania w pamięci kalibracji dwóch różnych serii jednego rodzaju odczynnika.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Oddzielne igły pipetujące dla odczynników i  próbek 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Wbudowane programy kontroli jakości badań , z flagowaniem wyników przekraczających wartości należne,  z kartami kontroli jakości (opracowanie liczbowe i graficzne) i wykresami wyników dla dwóch skorelowanych materiałów kontrolnych – diagramy Youdena.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Analizatory  posiadają funkcję przedanalitycznego sprawdzania próbek pod kątem obecności hemolizy, lipemii, ikterii oraz automatycznej interpretacji wpływu tych interferencji na wyniki badań.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drukarka zewnętrzna wraz z materiałami eksploatacyjnymi ( bębny , tonery na cały okres obowiązywania umowy), do której zostaną podłączone oba analizatory oraz UPS do każdego analizatora.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Instalacja aparatów i ich wyposażenia oraz szkolenie personelu w siedzibie  Zamawiającego 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right"/>
              <w:rPr/>
            </w:pPr>
            <w:r>
              <w:rPr/>
              <w:t>str. 4 z 5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Przedział reakcyjny termostatowany bez konieczności uzupełniania i okresowej wymiany jakichkolwiek płynów systemowych, np. olej, woda, inne.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Serwisowanie, okresowe  przeglądy serwisowe obu analizatorów i wymiany części uwzględniono w ofercie.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dla analizatorów i odczynników o ich zgodności  z dyrektywą 98/79/WE . Zamawiający zastrzega sobie prawo do żądania  dostarczenia deklaracji zgodności.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20 użytkowników oferowanej grupy analizatorów uczestniczy w zewnątrz laboratoryjnym programie jakości badań prowadzonym przez COBJwDL w Łodzi.</w:t>
            </w:r>
          </w:p>
        </w:tc>
      </w:tr>
    </w:tbl>
    <w:p>
      <w:pPr>
        <w:pStyle w:val="Normal"/>
        <w:jc w:val="right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Tretekstu"/>
        <w:jc w:val="right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Tretekstu"/>
        <w:jc w:val="right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Tretekstu"/>
        <w:rPr>
          <w:b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  <w:t>Parametry oceniane:</w:t>
      </w:r>
    </w:p>
    <w:p>
      <w:pPr>
        <w:pStyle w:val="Tretekstu"/>
        <w:rPr>
          <w:b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</w:r>
    </w:p>
    <w:tbl>
      <w:tblPr>
        <w:tblW w:w="9201" w:type="dxa"/>
        <w:jc w:val="left"/>
        <w:tblInd w:w="-5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0"/>
        <w:gridCol w:w="4635"/>
        <w:gridCol w:w="1755"/>
        <w:gridCol w:w="130"/>
        <w:gridCol w:w="1871"/>
      </w:tblGrid>
      <w:tr>
        <w:trPr>
          <w:trHeight w:val="375" w:hRule="atLeast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/>
            </w:pPr>
            <w:r>
              <w:rPr/>
              <w:t>Lp.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  <w:t>Parametr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testów rzadko wykonywanych ( od 500 do  4 000/24 mies.) możliwe jest porcjowanie odczynników umożliwiające ich ekonomiczne wykorzystanie w okresach ich gwarantowanej stabilności na pokładzie analizatora.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– 20 pkt.</w:t>
            </w:r>
          </w:p>
          <w:p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Zawartotabeli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– 0 pkt.</w:t>
            </w:r>
          </w:p>
        </w:tc>
      </w:tr>
    </w:tbl>
    <w:p>
      <w:pPr>
        <w:pStyle w:val="Tretekstu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Normal"/>
        <w:snapToGrid w:val="false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</w:r>
    </w:p>
    <w:p>
      <w:pPr>
        <w:pStyle w:val="Normal"/>
        <w:snapToGrid w:val="false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Klimatyzator o mocy  5-7  KW do pracowni o wymiarach : 6,5 m x 2,5 m x 2,8 m   wyposażonej w dwa duże analizatory.</w:t>
      </w:r>
    </w:p>
    <w:p>
      <w:pPr>
        <w:pStyle w:val="Normal"/>
        <w:snapToGrid w:val="false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</w:r>
    </w:p>
    <w:p>
      <w:pPr>
        <w:pStyle w:val="Normal"/>
        <w:snapToGrid w:val="false"/>
        <w:rPr>
          <w:sz w:val="24"/>
          <w:lang w:bidi="zxx"/>
        </w:rPr>
      </w:pPr>
      <w:r>
        <w:rPr>
          <w:sz w:val="24"/>
          <w:szCs w:val="24"/>
          <w:lang w:bidi="zxx"/>
        </w:rPr>
        <w:t xml:space="preserve">Termin dostawy analizatorów oraz klimatyzatora nie dłuższy niż 30 dni od </w:t>
      </w:r>
      <w:r>
        <w:rPr>
          <w:sz w:val="24"/>
          <w:szCs w:val="24"/>
          <w:lang w:bidi="zxx"/>
        </w:rPr>
        <w:t>dnia zawarcia umowy</w:t>
      </w:r>
      <w:r>
        <w:rPr>
          <w:sz w:val="24"/>
          <w:szCs w:val="24"/>
          <w:lang w:bidi="zxx"/>
        </w:rPr>
        <w:t>.</w:t>
      </w:r>
    </w:p>
    <w:p>
      <w:pPr>
        <w:pStyle w:val="Tretekstu"/>
        <w:jc w:val="right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Tretekstu"/>
        <w:jc w:val="right"/>
        <w:rPr>
          <w:sz w:val="28"/>
          <w:lang w:bidi="zxx"/>
        </w:rPr>
      </w:pPr>
      <w:r>
        <w:rPr>
          <w:sz w:val="28"/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  <w:t>str. 5 z 5</w:t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jc w:val="right"/>
        <w:rPr>
          <w:lang w:bidi="zxx"/>
        </w:rPr>
      </w:pPr>
      <w:r>
        <w:rPr>
          <w:lang w:bidi="zxx"/>
        </w:rPr>
      </w:r>
    </w:p>
    <w:p>
      <w:pPr>
        <w:pStyle w:val="Tretekstu"/>
        <w:spacing w:before="0" w:after="120"/>
        <w:jc w:val="righ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1417" w:bottom="1931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Wingdings 2">
    <w:charset w:val="02"/>
    <w:family w:val="roman"/>
    <w:pitch w:val="variable"/>
  </w:font>
  <w:font w:name="StarSymbol">
    <w:altName w:val="Arial Unicode MS"/>
    <w:charset w:val="02"/>
    <w:family w:val="auto"/>
    <w:pitch w:val="default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14400" w:leader="none"/>
      </w:tabs>
      <w:jc w:val="right"/>
      <w:rPr>
        <w:lang w:bidi="zxx"/>
      </w:rPr>
    </w:pPr>
    <w:r>
      <w:rPr>
        <w:lang w:bidi="zxx"/>
      </w:rPr>
      <w:t xml:space="preserve"> </w:t>
    </w:r>
  </w:p>
  <w:p>
    <w:pPr>
      <w:pStyle w:val="Normal"/>
      <w:tabs>
        <w:tab w:val="clear" w:pos="708"/>
        <w:tab w:val="left" w:pos="14400" w:leader="none"/>
      </w:tabs>
      <w:jc w:val="right"/>
      <w:rPr>
        <w:lang w:bidi="zxx"/>
      </w:rPr>
    </w:pPr>
    <w:r>
      <w:rPr>
        <w:lang w:bidi="zxx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  <w:rPr>
        <w:rFonts w:ascii="Symbol" w:hAnsi="Symbol" w:cs="Symbol"/>
      </w:r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right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outlineLvl w:val="2"/>
    </w:pPr>
    <w:rPr>
      <w:b/>
      <w:sz w:val="28"/>
    </w:rPr>
  </w:style>
  <w:style w:type="paragraph" w:styleId="Nagwek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center"/>
      <w:outlineLvl w:val="7"/>
    </w:pPr>
    <w:rPr>
      <w:rFonts w:ascii="Tahoma" w:hAnsi="Tahoma" w:eastAsia="Tahoma" w:cs="Tahoma"/>
      <w:b/>
      <w:sz w:val="24"/>
      <w:lang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rFonts w:ascii="Symbol" w:hAnsi="Symbol" w:eastAsia="Times New Roman" w:cs="Symbol"/>
      <w:i w:val="false"/>
      <w:iCs w:val="false"/>
      <w:color w:val="auto"/>
      <w:sz w:val="24"/>
      <w:szCs w:val="24"/>
      <w:lang w:val="pl-PL" w:bidi="pl-PL"/>
    </w:rPr>
  </w:style>
  <w:style w:type="character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  <w:szCs w:val="18"/>
      <w:lang w:val="pl-PL"/>
    </w:rPr>
  </w:style>
  <w:style w:type="character" w:styleId="WW8Num3z1">
    <w:name w:val="WW8Num3z1"/>
    <w:qFormat/>
    <w:rPr>
      <w:rFonts w:ascii="Wingdings 2" w:hAnsi="Wingdings 2" w:cs="StarSymbol;Arial Unicode MS"/>
      <w:sz w:val="18"/>
      <w:szCs w:val="18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lang w:val="pl-P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omylnaczcionkaakapitu1">
    <w:name w:val="Domyślna czcionka akapitu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>
    <w:name w:val="Znaki numeracji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</w:rPr>
  </w:style>
  <w:style w:type="paragraph" w:styleId="Nagwek">
    <w:name w:val="Nagłówek"/>
    <w:basedOn w:val="Normal"/>
    <w:next w:val="Podtytu"/>
    <w:qFormat/>
    <w:pPr>
      <w:jc w:val="center"/>
    </w:pPr>
    <w:rPr>
      <w:b/>
      <w:sz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odtytu">
    <w:name w:val="Subtitle"/>
    <w:basedOn w:val="Nagwek11"/>
    <w:next w:val="Tretekstu"/>
    <w:qFormat/>
    <w:pPr>
      <w:jc w:val="center"/>
    </w:pPr>
    <w:rPr>
      <w:i/>
      <w:iCs/>
      <w:sz w:val="28"/>
      <w:szCs w:val="28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21">
    <w:name w:val="Tekst podstawowy 21"/>
    <w:basedOn w:val="Normal"/>
    <w:qFormat/>
    <w:pPr>
      <w:suppressAutoHyphens w:val="true"/>
      <w:jc w:val="both"/>
    </w:pPr>
    <w:rPr>
      <w:rFonts w:ascii="Tahoma" w:hAnsi="Tahoma" w:eastAsia="Tahoma" w:cs="Tahoma"/>
      <w:b/>
      <w:sz w:val="24"/>
      <w:lang w:eastAsia="zh-CN"/>
    </w:rPr>
  </w:style>
  <w:style w:type="paragraph" w:styleId="Akapitzlist">
    <w:name w:val="Akapit z listą"/>
    <w:basedOn w:val="Normal"/>
    <w:qFormat/>
    <w:pPr>
      <w:ind w:left="720" w:right="0" w:hanging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</TotalTime>
  <Application>LibreOffice/6.2.5.2$Windows_X86_64 LibreOffice_project/1ec314fa52f458adc18c4f025c545a4e8b22c159</Application>
  <Pages>5</Pages>
  <Words>1545</Words>
  <Characters>8768</Characters>
  <CharactersWithSpaces>10427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2020-01-27T10:00:00Z</dcterms:created>
  <dc:creator>Bajus</dc:creator>
  <dc:description/>
  <dc:language>pl-PL</dc:language>
  <cp:lastModifiedBy/>
  <cp:lastPrinted>2020-01-29T09:34:36Z</cp:lastPrinted>
  <dcterms:modified xsi:type="dcterms:W3CDTF">2020-01-29T09:37:18Z</dcterms:modified>
  <cp:revision>4</cp:revision>
  <dc:subject/>
  <dc:title>Zamość 2000-05-26</dc:title>
</cp:coreProperties>
</file>