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 </w:t>
      </w:r>
      <w:r>
        <w:rPr>
          <w:rFonts w:eastAsia="Liberation Serif" w:cs="Liberation Serif"/>
          <w:b/>
          <w:bCs/>
        </w:rPr>
        <w:t xml:space="preserve"> </w:t>
      </w:r>
      <w:r>
        <w:rPr>
          <w:b/>
          <w:bCs/>
        </w:rPr>
        <w:t>AT. Z 2150.6.2.2022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>Załącznik nr 1 do zaproszenia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Nazwa zadania: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b/>
          <w:bCs/>
          <w:sz w:val="24"/>
          <w:szCs w:val="24"/>
        </w:rPr>
        <w:t xml:space="preserve"> „</w:t>
      </w:r>
      <w:r>
        <w:rPr>
          <w:rFonts w:eastAsia="Times New Roman" w:cs="Times New Roman"/>
          <w:b/>
          <w:bCs/>
          <w:sz w:val="24"/>
          <w:szCs w:val="24"/>
        </w:rPr>
        <w:t>D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ostawa, instalacja i uruchomienie urządzenia do śródoperacyjnego monitoringu nerwów   krtaniowych </w:t>
      </w:r>
      <w:r>
        <w:rPr>
          <w:rFonts w:eastAsia="Times New Roman" w:cs="Times New Roman"/>
          <w:b/>
          <w:bCs/>
          <w:sz w:val="24"/>
          <w:szCs w:val="24"/>
        </w:rPr>
        <w:t xml:space="preserve">   na  potrzeby Oddziału  Chirurgii Ogólnej  i   Onkologicznej     w Samodzielnym    Publicznym  Szpitalu    Wojewódzkim  im. Papieża  Jana  Pawła II        </w:t>
        <w:tab/>
        <w:tab/>
        <w:tab/>
        <w:t xml:space="preserve">                                                                              w  Zamościu”.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</w:p>
    <w:p>
      <w:pPr>
        <w:pStyle w:val="Normal"/>
        <w:rPr>
          <w:b/>
          <w:b/>
          <w:bCs/>
        </w:rPr>
      </w:pPr>
      <w:r>
        <w:rPr>
          <w:b/>
          <w:bCs/>
          <w:sz w:val="30"/>
          <w:szCs w:val="30"/>
        </w:rPr>
        <w:tab/>
        <w:tab/>
        <w:tab/>
        <w:tab/>
        <w:tab/>
        <w:tab/>
      </w:r>
      <w:r>
        <w:rPr>
          <w:b/>
          <w:bCs/>
          <w:sz w:val="32"/>
          <w:szCs w:val="32"/>
        </w:rPr>
        <w:t xml:space="preserve">  OPIS PRZEDMIOTU ZAMÓWIENIA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</w:rPr>
        <w:t>Urządzenie do śródoperacyjnego neuromonitoringu nerwów krtaniowych – 1szt.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668" w:type="dxa"/>
        <w:jc w:val="left"/>
        <w:tblInd w:w="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74"/>
        <w:gridCol w:w="8365"/>
        <w:gridCol w:w="2693"/>
        <w:gridCol w:w="2835"/>
      </w:tblGrid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ek2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</w:rPr>
              <w:t>Lp.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agwek9"/>
              <w:widowControl w:val="false"/>
              <w:rPr>
                <w:rFonts w:ascii="Calibri" w:hAnsi="Calibri" w:cs="Calibri" w:asciiTheme="minorHAnsi" w:cstheme="minorHAnsi" w:hAnsiTheme="minorHAnsi"/>
                <w:i w:val="false"/>
                <w:i w:val="false"/>
              </w:rPr>
            </w:pPr>
            <w:r>
              <w:rPr>
                <w:rFonts w:cs="Calibri" w:ascii="Calibri" w:hAnsi="Calibri" w:asciiTheme="minorHAnsi" w:cstheme="minorHAnsi" w:hAnsiTheme="minorHAnsi"/>
                <w:i w:val="false"/>
              </w:rPr>
              <w:t>PARAMETR / WARUNEK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70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WARTOŚĆ WYMAGANA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WARTOŚĆ OFEROWANA</w:t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3"/>
              </w:numPr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Urządzenie do śródoperacyjnego neuromonitoringu nerwów krtaniowych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Aparat fabrycznie nowy,  rok produkcji min. 2021 r.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Producent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Model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Kraj pochodzenia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TAK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4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Aparat do  neuromonitoringu nerwów krtaniowych  w chirurgii endokrynologicznej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5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18"/>
              </w:rPr>
              <w:t>Komunikacja z użytkownikiem w języku polskim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6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Aparat wyposażony w kolorowy ekran LCD min.12”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7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Interfejs pacjenta do podłączenia elektrod w chirurgii endokrynologicznej, wielorazowy przewód o dł. min. 4m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8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Elektrody odbiorcze jak i stymulacyjne podłączane do interfejsu pacjenta z możliwością zamocowania do szyny stołu operacyjnego (brak konieczności podłączania elektrod bezpośrednio do monitora)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9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Monitor wyposażony w min. 4 kanały robocze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0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Zdefiniowane procedury dla poszczególnych specjalności bez konieczności zmiany ustawień parametrów; tworzenie indywidualnych procedur według potrzeb użytkownika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1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 xml:space="preserve">Automatyczna kontrola elektrod, prezentacja na ekranie monitora. Alarm o nieprawidłowym połączeniu elektrody lub jej wypięciu – </w:t>
            </w:r>
            <w:r>
              <w:rPr>
                <w:rFonts w:cs="Calibri" w:ascii="Calibri" w:hAnsi="Calibri" w:asciiTheme="minorHAnsi" w:cstheme="minorHAnsi" w:hAnsiTheme="minorHAnsi"/>
                <w:szCs w:val="24"/>
              </w:rPr>
              <w:t>wizualny lub dźwiękowy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2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Aparat wyposażony w 2 stymulatory stałoprądowe z szerokim zakresem stymulacji od min. 0-25 mA  i zakresem regulacji częstotliwości impulsów min. 1-60 Hz ( skok co 1Hz)  do wyboru za pomocą oprogramowania. Aparat o napięciu min. 90 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3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Stymulacja elektrodą stymulacyjną sygnalizowana dźwiękowo (różnorodny dźwięk w przypadku zastymulowania nerwu jak i struktur w których nie znajduje się nerw)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4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Regulacja stymulacji z panelu dotykowego i pokrętłem nawigacyjnym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cstheme="minorHAnsi" w:ascii="Calibri" w:hAnsi="Calibri"/>
                <w:color w:val="000000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5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Potencjały wywołane EMG zapisywane automatycznie do pamięci wewnętrznej aparatu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6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Aparat wyposażony w pamięć wewnętrzną min. 1000 rekordów danych pacjenta z zapisanymi krzywymi EMG z możliwością odczytu zapisanego rekordu w dowolnym czasie po zabiegu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7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Obrazowanie potencjałów wolnobiegnących i wywołanych EMG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8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Wybór sygnału dźwiękowej odpowiedzi EMG: analogowy proporcjonalny do amplitudy odpowiedzi oraz cyfrowy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9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Automatyczna detekcja i eliminacja zakłóceń – artefaktów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0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Pomiar amplitudy i latencji przy odpowiedzi mięśniowej EMG - przypisywanie wartości liczbowych na życzenie operatora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1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Raportowanie w formie wykresów odpowiedzi EMG i wartości liczbowych przy wykresach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2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Drukowanie raportu z zabiegu do pliku min. PDF, JPG, DOC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3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Zatrzymania widoku całego ekranu – funkcja  freeze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4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Alarmy wizualne kodowane kolorami i dźwiękowe o potencjalnym zagrożeniu uszkodzenia nerwu podczas zastosowania elektrody ciągłej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5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Automatyczne dodanie numeru pacjenta  przy pomocy wbudowanego skanera kodów kreskowych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6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Praca w sieci szpitalnej poprzez port Ethernet (możliwość drukowania raportu na drukarce sieciowej)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7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Możliwość zastosowania aparatu w chirurgii kręgosłupa, chirurgii laryngologicznej, chirurgii naczyniowej, neurochirurgii  i chirurgii rektalnej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cstheme="minorHAnsi" w:ascii="Calibri" w:hAnsi="Calibri"/>
                <w:color w:val="000000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8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Przewód przyłączeniowy do elektrody odbiorczej naklejanej na rurkę intubacyjną min. czterokanałową. Przewód wielorazowy – 1 szt.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9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Jednorazowa elektroda min. 4 kanałowa ( 8 odprowadzeń) EMG, naklejana na rurki intubacyjne w rozmiarze min. 7-9 mm w komplecie z powierzchniową elektrodą neutralną – 10 szt.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0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Cs w:val="24"/>
              </w:rPr>
              <w:t>Jednorazowa sonda bipolarna do bezpośredniej stymulacji nerwów o długości roboczej 4-5cm, ze zintegrowanym przewodem o długości min. 3m – 10 szt.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1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Para jednorazowych, sterylnych elektrod igłowych o długości igły 15 mm i długości przewodu min. 1,5 m – 10 par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2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Trójka jednorazowych, sterylnych elektrod igłowych o długości igły 15 mm i długości przewodu min. 1,5 m – 10 trójek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3"/>
              </w:numPr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Podać zalecaną przez producenta częstość wykonywania przeglądów okresowych.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Wymienić zakres czynności wykonywanych podczas przeglądów okresowych oraz elementy zużywalne wymieniane podczas wykonywania w/w przeglądu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TAK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color w:val="000000"/>
          <w:szCs w:val="24"/>
        </w:rPr>
      </w:pPr>
      <w:r>
        <w:rPr>
          <w:rFonts w:cs="Calibri" w:cstheme="minorHAnsi" w:ascii="Calibri" w:hAnsi="Calibri"/>
          <w:color w:val="000000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Wymogiem jest aby wartości podane  w kolumnie „Wartość oferowana” były zgodne z danymi zawartymi w oficjalnym dokumencie przedstawiającym dane techniczne ( np. Product Data). Zamawiający ma prawo wystąpić do Wykonawcy o udostępnienie takiego dokumentu celem weryfikacji. 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agwek6"/>
        <w:rPr>
          <w:rFonts w:ascii="Calibri" w:hAnsi="Calibri" w:cs="Calibri" w:asciiTheme="minorHAnsi" w:cstheme="minorHAnsi" w:hAnsiTheme="minorHAnsi"/>
          <w:color w:val="000000" w:themeColor="text1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Cs w:val="24"/>
        </w:rPr>
        <w:t>Zamawiający zastrzega sobie prawo do zażądania w wyznaczonym przez siebie terminie, dokonania przez Wykonawcę prezentacji, pokazu oferowanego  przedmiotu zamówienia ze wszystkimi wymaganymi parametrami. Niespełnienie tego wymagania spowoduje odrzucenie oferty jako niezgodnej z treścią SIWZ.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 w:themeColor="text1"/>
          <w:szCs w:val="24"/>
        </w:rPr>
      </w:pPr>
      <w:r>
        <w:rPr>
          <w:rFonts w:cs="Calibri" w:cstheme="minorHAnsi" w:ascii="Calibri" w:hAnsi="Calibri"/>
          <w:color w:val="000000" w:themeColor="text1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 w:themeColor="text1"/>
          <w:szCs w:val="24"/>
        </w:rPr>
      </w:pPr>
      <w:r>
        <w:rPr>
          <w:rFonts w:cs="Calibri" w:cstheme="minorHAnsi" w:ascii="Calibri" w:hAnsi="Calibri"/>
          <w:color w:val="000000" w:themeColor="text1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 w:themeColor="text1"/>
          <w:szCs w:val="24"/>
        </w:rPr>
      </w:pPr>
      <w:r>
        <w:rPr>
          <w:rFonts w:cs="Calibri" w:cstheme="minorHAnsi" w:ascii="Calibri" w:hAnsi="Calibri"/>
          <w:color w:val="000000" w:themeColor="text1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 w:themeColor="text1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Cs w:val="24"/>
        </w:rPr>
        <w:t>Sporządziła :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 w:themeColor="text1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Cs w:val="24"/>
        </w:rPr>
        <w:t>Grażyna Drankowska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 w:themeColor="text1"/>
          <w:szCs w:val="24"/>
        </w:rPr>
      </w:pPr>
      <w:r>
        <w:rPr>
          <w:rFonts w:cs="Calibri" w:cstheme="minorHAnsi" w:ascii="Calibri" w:hAnsi="Calibri"/>
          <w:color w:val="000000" w:themeColor="text1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Tytu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ytu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ytu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Oświadczenie Wykonawcy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Tretekstu"/>
        <w:numPr>
          <w:ilvl w:val="0"/>
          <w:numId w:val="74"/>
        </w:numPr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Oświadczam , że oferowany przedmiot zamówienia jest kompletny i po zainstalowaniu będzie gotowy do pracy zgodnie z jego przeznaczeniem bez dodatkowych zakupów (poza materiałami eksploatacyjnymi).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numPr>
          <w:ilvl w:val="0"/>
          <w:numId w:val="75"/>
        </w:numPr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Na oferowany przedmiot zamówienia udzielam ............miesięcy pełnej gwarancji licząc od daty podpisania protokołu zdawczo – odbiorczego  ( min. wymagany przez Zamawiającego okres to 24 miesięcy). </w:t>
      </w:r>
    </w:p>
    <w:p>
      <w:pPr>
        <w:pStyle w:val="Normal"/>
        <w:numPr>
          <w:ilvl w:val="0"/>
          <w:numId w:val="76"/>
        </w:numPr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Warunki gwarancji:</w:t>
      </w:r>
    </w:p>
    <w:p>
      <w:pPr>
        <w:pStyle w:val="Normal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czas oczekiwania na usunięcie uszkodzenia w okresie gwarancji nie dłużej niż 5 dni robocze liczony od daty zgłoszenia  a w przypadku konieczności sprowadzenia części spoza granic Polski  nie dłuższy niż 7 dni roboczych</w:t>
      </w:r>
    </w:p>
    <w:p>
      <w:pPr>
        <w:pStyle w:val="Normal"/>
        <w:numPr>
          <w:ilvl w:val="0"/>
          <w:numId w:val="2"/>
        </w:numPr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graniczny czas naprawy po przekroczeniu którego okres gwarancji przedłuża się o czas przerwy w eksploatacji ..........................(max 7 dni roboczych)</w:t>
      </w:r>
    </w:p>
    <w:p>
      <w:pPr>
        <w:pStyle w:val="Normal"/>
        <w:numPr>
          <w:ilvl w:val="0"/>
          <w:numId w:val="3"/>
        </w:numPr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liczba napraw gwarancyjnych uprawniająca do wymiany na nowy element/podzespół .................................(max. ilość napraw dopuszczonych przez Zamawiającego – 3)</w:t>
      </w:r>
    </w:p>
    <w:p>
      <w:pPr>
        <w:pStyle w:val="Normal"/>
        <w:numPr>
          <w:ilvl w:val="0"/>
          <w:numId w:val="3"/>
        </w:numPr>
        <w:rPr>
          <w:rFonts w:ascii="Calibri" w:hAnsi="Calibri" w:cs="Calibri" w:asciiTheme="minorHAnsi" w:cstheme="minorHAnsi" w:hAnsiTheme="minorHAnsi"/>
          <w:szCs w:val="24"/>
        </w:rPr>
      </w:pPr>
      <w:r>
        <w:rPr>
          <w:rFonts w:eastAsia="Calibri" w:cs="Calibri" w:ascii="Calibri" w:hAnsi="Calibri" w:asciiTheme="minorHAnsi" w:cstheme="minorHAnsi" w:hAnsiTheme="minorHAnsi"/>
          <w:szCs w:val="24"/>
          <w:lang w:eastAsia="en-US"/>
        </w:rPr>
        <w:t>W przypadku przedłużania się czasu naprawy powyżej 30 dni Zamawiający ma prawo żądać wymiany sprzętu na nowy na koszt Wykonawcy.</w:t>
      </w:r>
    </w:p>
    <w:p>
      <w:pPr>
        <w:pStyle w:val="Normal"/>
        <w:numPr>
          <w:ilvl w:val="0"/>
          <w:numId w:val="3"/>
        </w:numPr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siedziba autoryzowanego serwisu gwarancyjnego i pogwarancyjnego upoważnionego do wykonywania działań serwisowych 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ind w:left="1416" w:firstLine="36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adres..............................................................</w:t>
      </w:r>
    </w:p>
    <w:p>
      <w:pPr>
        <w:pStyle w:val="Normal"/>
        <w:ind w:left="2267" w:hanging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.............................................................</w:t>
      </w:r>
    </w:p>
    <w:p>
      <w:pPr>
        <w:pStyle w:val="Normal"/>
        <w:ind w:left="2267" w:hanging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.............................................................</w:t>
      </w:r>
    </w:p>
    <w:p>
      <w:pPr>
        <w:pStyle w:val="Normal"/>
        <w:ind w:left="2267" w:hanging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numPr>
          <w:ilvl w:val="0"/>
          <w:numId w:val="77"/>
        </w:numPr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Oświadczam, że w ramach oferowanej gwarancji będą wykonywane przeglądy zalecane przez producenta.  Wszystkie czynności związane z wykonaniem przeglądu odbywać się będą na koszt Wykonawcy.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numPr>
          <w:ilvl w:val="0"/>
          <w:numId w:val="78"/>
        </w:numPr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Dostępność części zamiennych min. 8 lat od daty odbioru.</w:t>
      </w:r>
    </w:p>
    <w:p>
      <w:pPr>
        <w:pStyle w:val="Normal"/>
        <w:numPr>
          <w:ilvl w:val="0"/>
          <w:numId w:val="79"/>
        </w:numPr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Oświadczam , że wraz z dostawą dostarczę instrukcję obsługi w języku polskim zawierającą zapisy dotyczące bezpieczeństwa użytkownika i bezpieczeństwa pacjenta ( wersja papierowa i elektroniczna ).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numPr>
          <w:ilvl w:val="0"/>
          <w:numId w:val="80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Oświadczam, że bezpośredni użytkownicy zostaną przeszkoleni w zakresie obsługi przedmiotu zamówienia. Pierwsze szkolenie odbędzie się przy instalacji aparatu, a dodatkowe -  w terminie uzgodnionym z Użytkownikiem.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retekstu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Miejscowość, data: ........................................................</w:t>
      </w:r>
    </w:p>
    <w:p>
      <w:pPr>
        <w:pStyle w:val="Tretekstu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</w:rPr>
        <w:t>..............................................</w:t>
      </w:r>
    </w:p>
    <w:p>
      <w:pPr>
        <w:pStyle w:val="Normal"/>
        <w:ind w:left="6372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2"/>
        </w:rPr>
        <w:t xml:space="preserve">                                                    </w:t>
      </w:r>
      <w:r>
        <w:rPr>
          <w:rFonts w:cs="Calibri" w:ascii="Calibri" w:hAnsi="Calibri" w:asciiTheme="minorHAnsi" w:cstheme="minorHAnsi" w:hAnsiTheme="minorHAnsi"/>
          <w:sz w:val="22"/>
        </w:rPr>
        <w:t>(podpisy osoby/ osób uprawnionych)</w:t>
      </w:r>
      <w:bookmarkStart w:id="0" w:name="_Hlk92976469"/>
      <w:bookmarkEnd w:id="0"/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 Unicode M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Helvetica Neue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"/>
    <w:lvlOverride w:ilvl="0">
      <w:startOverride w:val="1"/>
    </w:lvlOverride>
  </w:num>
  <w:num w:numId="44">
    <w:abstractNumId w:val="4"/>
  </w:num>
  <w:num w:numId="45">
    <w:abstractNumId w:val="4"/>
  </w:num>
  <w:num w:numId="46">
    <w:abstractNumId w:val="4"/>
  </w:num>
  <w:num w:numId="47">
    <w:abstractNumId w:val="4"/>
  </w:num>
  <w:num w:numId="48">
    <w:abstractNumId w:val="4"/>
  </w:num>
  <w:num w:numId="49">
    <w:abstractNumId w:val="4"/>
  </w:num>
  <w:num w:numId="50">
    <w:abstractNumId w:val="4"/>
  </w:num>
  <w:num w:numId="51">
    <w:abstractNumId w:val="4"/>
  </w:num>
  <w:num w:numId="52">
    <w:abstractNumId w:val="4"/>
  </w:num>
  <w:num w:numId="53">
    <w:abstractNumId w:val="4"/>
  </w:num>
  <w:num w:numId="54">
    <w:abstractNumId w:val="4"/>
  </w:num>
  <w:num w:numId="55">
    <w:abstractNumId w:val="4"/>
  </w:num>
  <w:num w:numId="56">
    <w:abstractNumId w:val="4"/>
  </w:num>
  <w:num w:numId="57">
    <w:abstractNumId w:val="4"/>
  </w:num>
  <w:num w:numId="58">
    <w:abstractNumId w:val="4"/>
  </w:num>
  <w:num w:numId="59">
    <w:abstractNumId w:val="4"/>
  </w:num>
  <w:num w:numId="60">
    <w:abstractNumId w:val="4"/>
  </w:num>
  <w:num w:numId="61">
    <w:abstractNumId w:val="4"/>
  </w:num>
  <w:num w:numId="62">
    <w:abstractNumId w:val="4"/>
  </w:num>
  <w:num w:numId="63">
    <w:abstractNumId w:val="4"/>
  </w:num>
  <w:num w:numId="64">
    <w:abstractNumId w:val="4"/>
  </w:num>
  <w:num w:numId="65">
    <w:abstractNumId w:val="4"/>
  </w:num>
  <w:num w:numId="66">
    <w:abstractNumId w:val="4"/>
  </w:num>
  <w:num w:numId="67">
    <w:abstractNumId w:val="4"/>
  </w:num>
  <w:num w:numId="68">
    <w:abstractNumId w:val="4"/>
  </w:num>
  <w:num w:numId="69">
    <w:abstractNumId w:val="4"/>
  </w:num>
  <w:num w:numId="70">
    <w:abstractNumId w:val="4"/>
  </w:num>
  <w:num w:numId="71">
    <w:abstractNumId w:val="4"/>
  </w:num>
  <w:num w:numId="72">
    <w:abstractNumId w:val="4"/>
  </w:num>
  <w:num w:numId="73">
    <w:abstractNumId w:val="4"/>
  </w:num>
  <w:num w:numId="74">
    <w:abstractNumId w:val="35"/>
    <w:lvlOverride w:ilvl="0">
      <w:startOverride w:val="1"/>
    </w:lvlOverride>
  </w:num>
  <w:num w:numId="75">
    <w:abstractNumId w:val="35"/>
  </w:num>
  <w:num w:numId="76">
    <w:abstractNumId w:val="35"/>
  </w:num>
  <w:num w:numId="77">
    <w:abstractNumId w:val="35"/>
  </w:num>
  <w:num w:numId="78">
    <w:abstractNumId w:val="35"/>
  </w:num>
  <w:num w:numId="79">
    <w:abstractNumId w:val="35"/>
  </w:num>
  <w:num w:numId="80">
    <w:abstractNumId w:val="3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17c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Nagwek2">
    <w:name w:val="Heading 2"/>
    <w:basedOn w:val="Normal"/>
    <w:next w:val="Normal"/>
    <w:link w:val="Nagwek2Znak"/>
    <w:qFormat/>
    <w:rsid w:val="00f217c2"/>
    <w:pPr>
      <w:keepNext w:val="true"/>
      <w:outlineLvl w:val="1"/>
    </w:pPr>
    <w:rPr>
      <w:rFonts w:ascii="Arial" w:hAnsi="Arial"/>
      <w:b/>
      <w:sz w:val="22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f217c2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Nagwek9">
    <w:name w:val="Heading 9"/>
    <w:basedOn w:val="Normal"/>
    <w:next w:val="Normal"/>
    <w:link w:val="Nagwek9Znak"/>
    <w:qFormat/>
    <w:rsid w:val="00f217c2"/>
    <w:pPr>
      <w:keepNext w:val="true"/>
      <w:jc w:val="center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f217c2"/>
    <w:rPr>
      <w:rFonts w:ascii="Times New Roman" w:hAnsi="Times New Roman" w:eastAsia="Times New Roman" w:cs="Times New Roman"/>
      <w:b/>
      <w:sz w:val="28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f217c2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f217c2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f217c2"/>
    <w:rPr>
      <w:rFonts w:ascii="Arial" w:hAnsi="Arial" w:eastAsia="Times New Roman" w:cs="Times New Roman"/>
      <w:b/>
      <w:szCs w:val="20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f217c2"/>
    <w:rPr>
      <w:rFonts w:ascii="Times New Roman" w:hAnsi="Times New Roman" w:eastAsia="Times New Roman" w:cs="Times New Roman"/>
      <w:b/>
      <w:i/>
      <w:sz w:val="24"/>
      <w:szCs w:val="20"/>
      <w:lang w:eastAsia="pl-PL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f217c2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217c2"/>
    <w:rPr>
      <w:rFonts w:ascii="Segoe UI" w:hAnsi="Segoe UI" w:eastAsia="Times New Roman" w:cs="Segoe UI"/>
      <w:sz w:val="18"/>
      <w:szCs w:val="18"/>
      <w:lang w:eastAsia="pl-PL"/>
    </w:rPr>
  </w:style>
  <w:style w:type="character" w:styleId="NagwekZnak" w:customStyle="1">
    <w:name w:val="Nagłówek Znak"/>
    <w:basedOn w:val="DefaultParagraphFont"/>
    <w:link w:val="Nagwek"/>
    <w:semiHidden/>
    <w:qFormat/>
    <w:rsid w:val="00e70aa0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Hyperlink1">
    <w:name w:val="Hyperlink.1"/>
    <w:qFormat/>
    <w:rPr>
      <w:outline w:val="false"/>
      <w:color w:val="000000"/>
      <w:u w:val="single"/>
    </w:rPr>
  </w:style>
  <w:style w:type="character" w:styleId="Hyperlink0">
    <w:name w:val="Hyperlink.0"/>
    <w:qFormat/>
    <w:rPr>
      <w:rFonts w:ascii="Times New Roman" w:hAnsi="Times New Roman" w:eastAsia="Times New Roman" w:cs="Times New Roman"/>
      <w:b/>
      <w:bCs/>
      <w:outline w:val="false"/>
      <w:color w:val="000000"/>
      <w:u w:val="single"/>
    </w:rPr>
  </w:style>
  <w:style w:type="character" w:styleId="Cze">
    <w:name w:val="Łącze"/>
    <w:qFormat/>
    <w:rPr>
      <w:outline w:val="false"/>
      <w:color w:val="0000FF"/>
      <w:u w:val="single"/>
    </w:rPr>
  </w:style>
  <w:style w:type="character" w:styleId="Pagenumber">
    <w:name w:val="page number"/>
    <w:qFormat/>
    <w:rPr/>
  </w:style>
  <w:style w:type="character" w:styleId="WW8Num4z1">
    <w:name w:val="WW8Num4z1"/>
    <w:qFormat/>
    <w:rPr>
      <w:rFonts w:ascii="OpenSymbol" w:hAnsi="OpenSymbol" w:cs="OpenSymbol"/>
      <w:caps w:val="false"/>
      <w:smallCaps w:val="false"/>
      <w:strike w:val="false"/>
      <w:dstrike w:val="false"/>
      <w:outline w:val="false"/>
      <w:spacing w:val="0"/>
      <w:w w:val="100"/>
      <w:kern w:val="2"/>
      <w:sz w:val="24"/>
    </w:rPr>
  </w:style>
  <w:style w:type="character" w:styleId="WW8Num3z1">
    <w:name w:val="WW8Num3z1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sz w:val="24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>
      <w:rFonts w:ascii="OpenSymbol" w:hAnsi="OpenSymbol" w:cs="OpenSymbol"/>
      <w:caps w:val="false"/>
      <w:smallCaps w:val="false"/>
      <w:strike w:val="false"/>
      <w:dstrike w:val="false"/>
      <w:outline w:val="false"/>
      <w:spacing w:val="0"/>
      <w:w w:val="100"/>
      <w:kern w:val="2"/>
      <w:sz w:val="20"/>
      <w:szCs w:val="20"/>
    </w:rPr>
  </w:style>
  <w:style w:type="character" w:styleId="WW8Num3z0">
    <w:name w:val="WW8Num3z0"/>
    <w:qFormat/>
    <w:rPr>
      <w:rFonts w:ascii="Times New Roman" w:hAnsi="Times New Roman"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sz w:val="20"/>
      <w:szCs w:val="20"/>
    </w:rPr>
  </w:style>
  <w:style w:type="character" w:styleId="WW8Num2z1">
    <w:name w:val="WW8Num2z1"/>
    <w:qFormat/>
    <w:rPr>
      <w:rFonts w:ascii="OpenSymbol" w:hAnsi="Open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sz w:val="24"/>
    </w:rPr>
  </w:style>
  <w:style w:type="character" w:styleId="WW8Num2z0">
    <w:name w:val="WW8Num2z0"/>
    <w:qFormat/>
    <w:rPr>
      <w:rFonts w:ascii="OpenSymbol" w:hAnsi="Open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sz w:val="20"/>
      <w:szCs w:val="20"/>
    </w:rPr>
  </w:style>
  <w:style w:type="character" w:styleId="WW8Num1z1">
    <w:name w:val="WW8Num1z1"/>
    <w:qFormat/>
    <w:rPr>
      <w:rFonts w:ascii="Arial Unicode MS" w:hAnsi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pacing w:val="0"/>
      <w:w w:val="100"/>
      <w:kern w:val="2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f217c2"/>
    <w:pPr/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ytu">
    <w:name w:val="Title"/>
    <w:basedOn w:val="Normal"/>
    <w:link w:val="TytuZnak"/>
    <w:qFormat/>
    <w:rsid w:val="00f217c2"/>
    <w:pPr>
      <w:jc w:val="center"/>
    </w:pPr>
    <w:rPr>
      <w:b/>
      <w:sz w:val="28"/>
    </w:rPr>
  </w:style>
  <w:style w:type="paragraph" w:styleId="Wcicietrecitekstu">
    <w:name w:val="Body Text Indent"/>
    <w:basedOn w:val="Normal"/>
    <w:link w:val="TekstpodstawowywcityZnak"/>
    <w:semiHidden/>
    <w:unhideWhenUsed/>
    <w:rsid w:val="00f217c2"/>
    <w:pPr>
      <w:snapToGrid w:val="false"/>
      <w:ind w:left="284" w:hanging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217c2"/>
    <w:pPr/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semiHidden/>
    <w:unhideWhenUsed/>
    <w:rsid w:val="00e70aa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1f4d26"/>
    <w:pPr>
      <w:spacing w:lineRule="auto" w:line="252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Zwykytekst1">
    <w:name w:val="Zwykły tekst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 Unicode MS" w:cs="Arial Unicode MS"/>
      <w:color w:val="000000"/>
      <w:kern w:val="2"/>
      <w:sz w:val="24"/>
      <w:szCs w:val="24"/>
      <w:u w:val="none"/>
      <w:lang w:val="pl-PL" w:eastAsia="pl-PL" w:bidi="ar-SA"/>
    </w:rPr>
  </w:style>
  <w:style w:type="paragraph" w:styleId="Standardowy1">
    <w:name w:val="Standardowy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000000"/>
      <w:kern w:val="2"/>
      <w:sz w:val="24"/>
      <w:szCs w:val="20"/>
      <w:u w:val="none"/>
      <w:lang w:val="pl-PL" w:eastAsia="pl-PL" w:bidi="ar-SA"/>
    </w:rPr>
  </w:style>
  <w:style w:type="paragraph" w:styleId="Nagwekistopka">
    <w:name w:val="Nagłówek i stopka"/>
    <w:qFormat/>
    <w:pPr>
      <w:widowControl/>
      <w:tabs>
        <w:tab w:val="clear" w:pos="709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Application>LibreOffice/7.1.2.2$Windows_x86 LibreOffice_project/8a45595d069ef5570103caea1b71cc9d82b2aae4</Application>
  <AppVersion>15.0000</AppVersion>
  <Pages>11</Pages>
  <Words>915</Words>
  <Characters>6289</Characters>
  <CharactersWithSpaces>7641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dc:description/>
  <dc:language>pl-PL</dc:language>
  <cp:lastModifiedBy/>
  <dcterms:modified xsi:type="dcterms:W3CDTF">2022-06-15T08:42:02Z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