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07B9" w:rsidRDefault="008E5464">
      <w:pPr>
        <w:tabs>
          <w:tab w:val="left" w:pos="0"/>
        </w:tabs>
        <w:jc w:val="center"/>
        <w:rPr>
          <w:b/>
          <w:bCs/>
          <w:sz w:val="28"/>
          <w:szCs w:val="28"/>
          <w:lang w:eastAsia="pl-PL" w:bidi="pl-PL"/>
        </w:rPr>
      </w:pPr>
      <w:r>
        <w:rPr>
          <w:b/>
          <w:bCs/>
          <w:sz w:val="28"/>
          <w:szCs w:val="28"/>
          <w:lang w:eastAsia="pl-PL" w:bidi="pl-PL"/>
        </w:rPr>
        <w:t>AG.ZP 3320.</w:t>
      </w:r>
      <w:r w:rsidR="00D75F09">
        <w:rPr>
          <w:b/>
          <w:bCs/>
          <w:sz w:val="28"/>
          <w:szCs w:val="28"/>
          <w:lang w:eastAsia="pl-PL" w:bidi="pl-PL"/>
        </w:rPr>
        <w:t>2</w:t>
      </w:r>
      <w:r>
        <w:rPr>
          <w:b/>
          <w:bCs/>
          <w:sz w:val="28"/>
          <w:szCs w:val="28"/>
          <w:lang w:eastAsia="pl-PL" w:bidi="pl-PL"/>
        </w:rPr>
        <w:t>4.20</w:t>
      </w:r>
    </w:p>
    <w:p w:rsidR="00D507B9" w:rsidRDefault="008E5464">
      <w:pPr>
        <w:tabs>
          <w:tab w:val="left" w:pos="0"/>
        </w:tabs>
        <w:jc w:val="center"/>
        <w:rPr>
          <w:sz w:val="28"/>
          <w:szCs w:val="28"/>
          <w:lang w:eastAsia="pl-PL" w:bidi="pl-PL"/>
        </w:rPr>
      </w:pPr>
      <w:r>
        <w:rPr>
          <w:sz w:val="28"/>
          <w:szCs w:val="28"/>
          <w:u w:val="single"/>
          <w:lang w:eastAsia="pl-PL" w:bidi="pl-PL"/>
        </w:rPr>
        <w:t xml:space="preserve">OPIS PRZEDMIOTU ZAMÓWIENIA:  </w:t>
      </w:r>
      <w:r>
        <w:rPr>
          <w:b/>
          <w:bCs/>
          <w:i/>
          <w:iCs/>
          <w:sz w:val="28"/>
          <w:szCs w:val="28"/>
          <w:lang w:eastAsia="pl-PL" w:bidi="pl-PL"/>
        </w:rPr>
        <w:t>Odczynniki do badań biochemicznych wraz z dzierżawą dwu analizatorów biochemicznych:</w:t>
      </w:r>
    </w:p>
    <w:tbl>
      <w:tblPr>
        <w:tblW w:w="9513" w:type="dxa"/>
        <w:tblInd w:w="-242" w:type="dxa"/>
        <w:tblCellMar>
          <w:left w:w="70" w:type="dxa"/>
          <w:right w:w="70" w:type="dxa"/>
        </w:tblCellMar>
        <w:tblLook w:val="0000"/>
      </w:tblPr>
      <w:tblGrid>
        <w:gridCol w:w="584"/>
        <w:gridCol w:w="4951"/>
        <w:gridCol w:w="3978"/>
      </w:tblGrid>
      <w:tr w:rsidR="00D507B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pStyle w:val="Heading1"/>
              <w:rPr>
                <w:sz w:val="24"/>
                <w:szCs w:val="24"/>
                <w:lang w:eastAsia="pl-PL" w:bidi="pl-PL"/>
              </w:rPr>
            </w:pPr>
            <w:r>
              <w:rPr>
                <w:sz w:val="24"/>
                <w:szCs w:val="24"/>
                <w:lang w:eastAsia="pl-PL" w:bidi="pl-PL"/>
              </w:rPr>
              <w:t>Lp.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pStyle w:val="Heading3"/>
              <w:rPr>
                <w:sz w:val="26"/>
                <w:szCs w:val="26"/>
                <w:lang w:eastAsia="pl-PL" w:bidi="pl-PL"/>
              </w:rPr>
            </w:pPr>
            <w:r>
              <w:rPr>
                <w:sz w:val="26"/>
                <w:szCs w:val="26"/>
                <w:lang w:eastAsia="pl-PL" w:bidi="pl-PL"/>
              </w:rPr>
              <w:t>Odczynnik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pStyle w:val="Heading3"/>
              <w:rPr>
                <w:sz w:val="24"/>
                <w:szCs w:val="24"/>
                <w:lang w:eastAsia="pl-PL" w:bidi="pl-PL"/>
              </w:rPr>
            </w:pPr>
            <w:r>
              <w:rPr>
                <w:sz w:val="24"/>
                <w:szCs w:val="24"/>
                <w:lang w:eastAsia="pl-PL" w:bidi="pl-PL"/>
              </w:rPr>
              <w:t>Ilość oznaczeń na 18 miesięcy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Białko CRP 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91 300 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45 500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56 200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4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3 500  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5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  <w:tab w:val="left" w:pos="1539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Kwas moczowy</w:t>
            </w:r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  <w:tab w:val="left" w:pos="15390"/>
              </w:tabs>
              <w:snapToGrid w:val="0"/>
              <w:ind w:left="360" w:hanging="360"/>
              <w:jc w:val="center"/>
            </w:pPr>
            <w:r>
              <w:rPr>
                <w:sz w:val="24"/>
                <w:szCs w:val="24"/>
              </w:rPr>
              <w:t xml:space="preserve">66 800 </w:t>
            </w:r>
            <w:r>
              <w:t xml:space="preserve"> (w tym 100 w moczu)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6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Mocznik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</w:pPr>
            <w:r>
              <w:rPr>
                <w:sz w:val="24"/>
                <w:szCs w:val="24"/>
              </w:rPr>
              <w:t xml:space="preserve">76 700 </w:t>
            </w:r>
            <w:r>
              <w:t>(w tym 140 w moczu)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7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Kreatynina, metoda enzymatyczna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</w:pPr>
            <w:r>
              <w:rPr>
                <w:sz w:val="24"/>
                <w:szCs w:val="24"/>
              </w:rPr>
              <w:t xml:space="preserve">101 300  </w:t>
            </w:r>
            <w:r>
              <w:t>(w tym 420 w moczu)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8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Magnez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</w:pPr>
            <w:r>
              <w:rPr>
                <w:sz w:val="24"/>
                <w:szCs w:val="24"/>
              </w:rPr>
              <w:t xml:space="preserve">13 500 </w:t>
            </w:r>
            <w:r>
              <w:t>(w tym 100 w moczu)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9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Glukoza, metoda heksokinazowa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</w:pPr>
            <w:r>
              <w:rPr>
                <w:sz w:val="24"/>
                <w:szCs w:val="24"/>
              </w:rPr>
              <w:t xml:space="preserve">75 300  </w:t>
            </w:r>
            <w:r>
              <w:t xml:space="preserve">( w tym 2 400 w płynach z jam ciała i w moczu ) 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10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Cholesterol całkowity*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jc w:val="center"/>
            </w:pPr>
            <w:r>
              <w:rPr>
                <w:sz w:val="24"/>
                <w:szCs w:val="24"/>
              </w:rPr>
              <w:t xml:space="preserve">30 300  </w:t>
            </w:r>
            <w:r>
              <w:t>(w tym 330 w płynach z jam ciała 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Cholesterol HDL  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24 600 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12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Triglicerydy 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26 000  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13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Wapń całkowity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</w:pPr>
            <w:r>
              <w:rPr>
                <w:sz w:val="24"/>
                <w:szCs w:val="24"/>
              </w:rPr>
              <w:t xml:space="preserve">17 100  </w:t>
            </w:r>
            <w:r>
              <w:t>(w tym 400 w moczu)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14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Bilirubina całkowita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</w:pPr>
            <w:r>
              <w:rPr>
                <w:sz w:val="24"/>
                <w:szCs w:val="24"/>
              </w:rPr>
              <w:t xml:space="preserve">41 300  </w:t>
            </w:r>
            <w:r>
              <w:t>(w tym 330 w płynach z jam ciała 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15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Bilirubina bezpośrednia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4 000 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16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Białko ultraczułe do badania płynów z jam ciała i</w:t>
            </w:r>
          </w:p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moczu, czułość co najmniej 0,03 g/l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17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Fosforany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3680"/>
              </w:tabs>
              <w:snapToGrid w:val="0"/>
              <w:jc w:val="center"/>
            </w:pPr>
            <w:r>
              <w:rPr>
                <w:sz w:val="24"/>
                <w:szCs w:val="24"/>
              </w:rPr>
              <w:t xml:space="preserve">7 500    </w:t>
            </w:r>
            <w:r>
              <w:t>(w tym 150 w moczu)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18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Fosfataza alkaliczna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</w:pPr>
            <w:r>
              <w:rPr>
                <w:sz w:val="24"/>
                <w:szCs w:val="24"/>
              </w:rPr>
              <w:t xml:space="preserve">9 600   </w:t>
            </w:r>
            <w:r>
              <w:t>(w tym 330 w płynach z jam ciała 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19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Żelazo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20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Amylaza w surowicy i w moczu*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14400"/>
              </w:tabs>
              <w:snapToGrid w:val="0"/>
              <w:ind w:left="360" w:hanging="360"/>
              <w:jc w:val="center"/>
            </w:pPr>
            <w:r>
              <w:rPr>
                <w:sz w:val="24"/>
                <w:szCs w:val="24"/>
              </w:rPr>
              <w:t xml:space="preserve">11 700   </w:t>
            </w:r>
            <w:r>
              <w:t>(w tym 2 300 w płynach z jam ciała i w moczu)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21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Albumina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3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8 300   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22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Białko całkowite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tabs>
                <w:tab w:val="left" w:pos="3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10 300  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23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Elektrolity :</w:t>
            </w:r>
          </w:p>
          <w:p w:rsidR="00D507B9" w:rsidRDefault="008E5464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sód *- </w:t>
            </w:r>
            <w:r>
              <w:rPr>
                <w:sz w:val="24"/>
                <w:szCs w:val="24"/>
              </w:rPr>
              <w:tab/>
            </w:r>
          </w:p>
          <w:p w:rsidR="00D507B9" w:rsidRDefault="008E5464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potas *– </w:t>
            </w:r>
            <w:r>
              <w:rPr>
                <w:sz w:val="24"/>
                <w:szCs w:val="24"/>
              </w:rPr>
              <w:tab/>
            </w:r>
          </w:p>
          <w:p w:rsidR="00D507B9" w:rsidRDefault="008E5464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chlor *-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D507B9">
            <w:pPr>
              <w:tabs>
                <w:tab w:val="left" w:pos="360"/>
              </w:tabs>
              <w:snapToGrid w:val="0"/>
              <w:jc w:val="center"/>
              <w:rPr>
                <w:sz w:val="24"/>
                <w:szCs w:val="24"/>
              </w:rPr>
            </w:pPr>
          </w:p>
          <w:p w:rsidR="00D507B9" w:rsidRDefault="008E5464">
            <w:pPr>
              <w:tabs>
                <w:tab w:val="left" w:pos="360"/>
              </w:tabs>
              <w:jc w:val="center"/>
            </w:pPr>
            <w:r>
              <w:rPr>
                <w:sz w:val="24"/>
                <w:szCs w:val="24"/>
              </w:rPr>
              <w:t xml:space="preserve">125 000 </w:t>
            </w:r>
            <w:r>
              <w:t>(w tym 400 w moczu)</w:t>
            </w:r>
          </w:p>
          <w:p w:rsidR="00D507B9" w:rsidRDefault="008E5464">
            <w:pPr>
              <w:tabs>
                <w:tab w:val="left" w:pos="360"/>
              </w:tabs>
              <w:jc w:val="center"/>
            </w:pPr>
            <w:r>
              <w:rPr>
                <w:sz w:val="24"/>
                <w:szCs w:val="24"/>
              </w:rPr>
              <w:t xml:space="preserve">137 500 </w:t>
            </w:r>
            <w:r>
              <w:t>(w tym 400 w moczu)</w:t>
            </w:r>
          </w:p>
          <w:p w:rsidR="00D507B9" w:rsidRDefault="008E5464">
            <w:pPr>
              <w:tabs>
                <w:tab w:val="left" w:pos="360"/>
              </w:tabs>
              <w:jc w:val="center"/>
            </w:pPr>
            <w:r>
              <w:rPr>
                <w:sz w:val="24"/>
                <w:szCs w:val="24"/>
              </w:rPr>
              <w:t xml:space="preserve">7 900 </w:t>
            </w:r>
            <w:r>
              <w:t xml:space="preserve"> (w tym 360 w PMR)</w:t>
            </w:r>
            <w:r>
              <w:rPr>
                <w:sz w:val="24"/>
                <w:szCs w:val="24"/>
              </w:rPr>
              <w:tab/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24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GGTP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25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LDH *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</w:pPr>
            <w:r>
              <w:rPr>
                <w:sz w:val="24"/>
                <w:szCs w:val="24"/>
              </w:rPr>
              <w:t xml:space="preserve">8 600  </w:t>
            </w:r>
            <w:r>
              <w:t>(w tym 330 w płynach z jam ciała )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26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! HbA1c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7 500 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27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 Wankomycyna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28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 Mleczany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 Immunoglobuliny IgA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D507B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30.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! </w:t>
            </w:r>
            <w:r>
              <w:rPr>
                <w:sz w:val="24"/>
                <w:szCs w:val="24"/>
              </w:rPr>
              <w:t>Immunoglobuliny IgG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31.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</w:pPr>
            <w:r>
              <w:rPr>
                <w:sz w:val="24"/>
                <w:szCs w:val="24"/>
              </w:rPr>
              <w:t>! Immunoglobuliny IgM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D507B9">
            <w:pPr>
              <w:snapToGrid w:val="0"/>
              <w:jc w:val="center"/>
              <w:rPr>
                <w:sz w:val="28"/>
                <w:lang w:eastAsia="pl-PL" w:bidi="pl-PL"/>
              </w:rPr>
            </w:pPr>
          </w:p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lastRenderedPageBreak/>
              <w:t>32.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Lipaza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D507B9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507B9" w:rsidRDefault="008E5464">
            <w:pPr>
              <w:snapToGrid w:val="0"/>
              <w:jc w:val="right"/>
            </w:pPr>
            <w:r>
              <w:t>Str. 1 z 5</w:t>
            </w:r>
          </w:p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7 700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lastRenderedPageBreak/>
              <w:t>33.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 Alkohol etylowy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34.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</w:pPr>
            <w:r>
              <w:rPr>
                <w:sz w:val="24"/>
                <w:szCs w:val="24"/>
              </w:rPr>
              <w:t xml:space="preserve">! TIBC/UIBC ( </w:t>
            </w:r>
            <w:r>
              <w:rPr>
                <w:i/>
                <w:iCs/>
                <w:sz w:val="24"/>
                <w:szCs w:val="24"/>
              </w:rPr>
              <w:t>w przypadku zaoferowania UIBC Wykonawca uwzględni w oferc</w:t>
            </w:r>
            <w:r>
              <w:rPr>
                <w:sz w:val="24"/>
                <w:szCs w:val="24"/>
              </w:rPr>
              <w:t xml:space="preserve">ie </w:t>
            </w:r>
            <w:r>
              <w:rPr>
                <w:i/>
                <w:iCs/>
                <w:sz w:val="24"/>
                <w:szCs w:val="24"/>
              </w:rPr>
              <w:t>inne testy niezbędne do wyliczenia TIBC)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35.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LDL </w:t>
            </w:r>
            <w:r>
              <w:rPr>
                <w:sz w:val="24"/>
                <w:szCs w:val="24"/>
              </w:rPr>
              <w:t>-cholesterol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9 300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8"/>
                <w:lang w:eastAsia="pl-PL" w:bidi="pl-PL"/>
              </w:rPr>
            </w:pPr>
            <w:r>
              <w:rPr>
                <w:sz w:val="28"/>
                <w:lang w:eastAsia="pl-PL" w:bidi="pl-PL"/>
              </w:rPr>
              <w:t>36.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zewnątrz laboratoryjnej kontroli jakości badań dla co najmniej 23 różnych metod z częstością co najmniej 2 razy w roku.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cykle</w:t>
            </w:r>
          </w:p>
        </w:tc>
      </w:tr>
      <w:tr w:rsidR="00D507B9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  <w:lang w:eastAsia="pl-PL" w:bidi="pl-PL"/>
              </w:rPr>
            </w:pPr>
            <w:r>
              <w:rPr>
                <w:sz w:val="24"/>
                <w:szCs w:val="24"/>
                <w:lang w:eastAsia="pl-PL" w:bidi="pl-PL"/>
              </w:rPr>
              <w:t>37.</w:t>
            </w:r>
          </w:p>
        </w:tc>
        <w:tc>
          <w:tcPr>
            <w:tcW w:w="4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Materiały kontrolne do wszystkich podanych metod stosowanych do oznaczeń w surowicy/osoczu , w moczu i w płynach z jam ciała na co najmniej 2 poziomach z wyznaczonymi wartościami dla </w:t>
            </w:r>
            <w:r>
              <w:rPr>
                <w:sz w:val="24"/>
                <w:szCs w:val="24"/>
              </w:rPr>
              <w:tab/>
              <w:t>oferowanych analizatorów oraz materiały kontrolne dla ultraczułego białk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ab/>
              <w:t>całkowitego oznaczanego w płynie mózgowo- rdzeniowym na co najmniej 1 poziomie  z wyznaczonymi wartościami dla oferowanych analizatorów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both"/>
            </w:pPr>
            <w:r>
              <w:rPr>
                <w:sz w:val="24"/>
                <w:szCs w:val="24"/>
              </w:rPr>
              <w:t xml:space="preserve">Harmonogram </w:t>
            </w:r>
          </w:p>
          <w:p w:rsidR="00D507B9" w:rsidRDefault="008E546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wewnątrz laboratoryjnej kontroli jakości dla parametrów z pozycji : </w:t>
            </w:r>
          </w:p>
          <w:p w:rsidR="00D507B9" w:rsidRDefault="008E5464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  – 25 ( z wyj. 16) i 32, 35 -1 </w:t>
            </w:r>
            <w:r>
              <w:rPr>
                <w:sz w:val="24"/>
                <w:szCs w:val="24"/>
              </w:rPr>
              <w:t>raz dziennie na 1 poziomie ( zamiennie), na dwu aparatach</w:t>
            </w:r>
          </w:p>
          <w:p w:rsidR="00D507B9" w:rsidRDefault="008E5464">
            <w:pPr>
              <w:pStyle w:val="Tekstpodstawowy"/>
            </w:pPr>
            <w:r>
              <w:rPr>
                <w:sz w:val="24"/>
                <w:szCs w:val="24"/>
              </w:rPr>
              <w:t>- 26 – 34 ( z wyj. 32) – 1 raz w tygodniu na 1 poziomie ( zamiennie), na jednym aparacie</w:t>
            </w:r>
          </w:p>
          <w:p w:rsidR="00D507B9" w:rsidRDefault="008E5464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- 16 - 1 raz w tygodniu na 1 poziomie  ( zamiennie), na dwu aparatach</w:t>
            </w:r>
          </w:p>
          <w:p w:rsidR="00D507B9" w:rsidRDefault="008E5464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badania w moczu : pozycje 7, 9, 13, 2</w:t>
            </w:r>
            <w:r>
              <w:rPr>
                <w:sz w:val="24"/>
                <w:szCs w:val="24"/>
              </w:rPr>
              <w:t>3- 1 raz w tygodniu na 1 poziomie ( zamiennie), na jednym aparacie</w:t>
            </w:r>
          </w:p>
          <w:p w:rsidR="00D507B9" w:rsidRDefault="008E5464">
            <w:pPr>
              <w:pStyle w:val="Tekstpodstawowy"/>
            </w:pPr>
            <w:r>
              <w:rPr>
                <w:sz w:val="24"/>
                <w:szCs w:val="24"/>
              </w:rPr>
              <w:t>- badania w moczu : pozycje 5, 6, 8,17, 22 – 3 razy w miesiącu na 1 poziomie ( zamiennie), na jednym aparacie.</w:t>
            </w:r>
          </w:p>
        </w:tc>
      </w:tr>
      <w:tr w:rsidR="00D507B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  <w:lang w:eastAsia="pl-PL" w:bidi="pl-PL"/>
              </w:rPr>
            </w:pPr>
            <w:r>
              <w:rPr>
                <w:sz w:val="24"/>
                <w:szCs w:val="24"/>
                <w:lang w:eastAsia="pl-PL" w:bidi="pl-PL"/>
              </w:rPr>
              <w:t xml:space="preserve">38.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Wszystkie pozostałe odczynniki (kontrole, kalibratory , płyny myjące, bufory) , materiały  eksploatacyjne niezbędne do wykonania wymienionej ilości oznaczeń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07B9" w:rsidRDefault="008E54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-- </w:t>
            </w:r>
          </w:p>
        </w:tc>
      </w:tr>
    </w:tbl>
    <w:p w:rsidR="00D507B9" w:rsidRDefault="00D507B9">
      <w:pPr>
        <w:tabs>
          <w:tab w:val="left" w:pos="0"/>
        </w:tabs>
        <w:rPr>
          <w:sz w:val="24"/>
          <w:szCs w:val="24"/>
          <w:u w:val="single"/>
          <w:lang w:eastAsia="pl-PL" w:bidi="pl-PL"/>
        </w:rPr>
      </w:pPr>
    </w:p>
    <w:p w:rsidR="00D507B9" w:rsidRDefault="008E5464">
      <w:pPr>
        <w:tabs>
          <w:tab w:val="left" w:pos="0"/>
        </w:tabs>
        <w:rPr>
          <w:sz w:val="24"/>
          <w:szCs w:val="24"/>
          <w:u w:val="single"/>
          <w:lang w:eastAsia="pl-PL" w:bidi="pl-PL"/>
        </w:rPr>
      </w:pPr>
      <w:r>
        <w:rPr>
          <w:sz w:val="24"/>
          <w:szCs w:val="24"/>
          <w:u w:val="single"/>
          <w:lang w:eastAsia="pl-PL" w:bidi="pl-PL"/>
        </w:rPr>
        <w:t>Informacje dodatkowe :</w:t>
      </w:r>
    </w:p>
    <w:p w:rsidR="00D507B9" w:rsidRDefault="008E5464">
      <w:pPr>
        <w:tabs>
          <w:tab w:val="left" w:pos="0"/>
        </w:tabs>
      </w:pPr>
      <w:r>
        <w:rPr>
          <w:sz w:val="24"/>
          <w:szCs w:val="24"/>
          <w:lang w:eastAsia="pl-PL" w:bidi="pl-PL"/>
        </w:rPr>
        <w:t>1.</w:t>
      </w:r>
      <w:r>
        <w:rPr>
          <w:b/>
          <w:bCs/>
          <w:sz w:val="24"/>
          <w:szCs w:val="24"/>
          <w:lang w:eastAsia="pl-PL" w:bidi="pl-PL"/>
        </w:rPr>
        <w:t xml:space="preserve"> Gwiazdką *</w:t>
      </w:r>
      <w:r>
        <w:rPr>
          <w:sz w:val="24"/>
          <w:szCs w:val="24"/>
          <w:lang w:eastAsia="pl-PL" w:bidi="pl-PL"/>
        </w:rPr>
        <w:t xml:space="preserve"> oznaczono badania wykonywane</w:t>
      </w:r>
      <w:r>
        <w:rPr>
          <w:sz w:val="24"/>
          <w:szCs w:val="24"/>
        </w:rPr>
        <w:t xml:space="preserve"> w surowicy, osoczu , w moczu oraz w</w:t>
      </w:r>
    </w:p>
    <w:p w:rsidR="00D507B9" w:rsidRDefault="008E5464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płynach z jam ciała.</w:t>
      </w:r>
    </w:p>
    <w:p w:rsidR="00D507B9" w:rsidRDefault="008E5464">
      <w:pPr>
        <w:tabs>
          <w:tab w:val="left" w:pos="0"/>
        </w:tabs>
      </w:pPr>
      <w:r>
        <w:rPr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 xml:space="preserve">Wykrzyknikiem ! </w:t>
      </w:r>
      <w:r>
        <w:rPr>
          <w:sz w:val="24"/>
          <w:szCs w:val="24"/>
        </w:rPr>
        <w:t>oznaczono badania wykonywane na jednym analizatorze.</w:t>
      </w:r>
    </w:p>
    <w:p w:rsidR="00D507B9" w:rsidRDefault="008E5464">
      <w:pPr>
        <w:tabs>
          <w:tab w:val="left" w:pos="0"/>
        </w:tabs>
      </w:pPr>
      <w:r>
        <w:rPr>
          <w:sz w:val="24"/>
          <w:szCs w:val="24"/>
          <w:lang w:eastAsia="pl-PL" w:bidi="pl-PL"/>
        </w:rPr>
        <w:t xml:space="preserve">3. Zamawiający pod pojęciem </w:t>
      </w:r>
      <w:r>
        <w:rPr>
          <w:b/>
          <w:bCs/>
          <w:i/>
          <w:iCs/>
          <w:sz w:val="24"/>
          <w:szCs w:val="24"/>
          <w:lang w:eastAsia="pl-PL" w:bidi="pl-PL"/>
        </w:rPr>
        <w:t xml:space="preserve">oznaczenia </w:t>
      </w:r>
      <w:r>
        <w:rPr>
          <w:sz w:val="24"/>
          <w:szCs w:val="24"/>
          <w:lang w:eastAsia="pl-PL" w:bidi="pl-PL"/>
        </w:rPr>
        <w:t>rozumie ilość wszystkich testów, jakie będą</w:t>
      </w:r>
    </w:p>
    <w:p w:rsidR="00D507B9" w:rsidRDefault="008E5464">
      <w:pPr>
        <w:tabs>
          <w:tab w:val="left" w:pos="0"/>
        </w:tabs>
      </w:pPr>
      <w:r>
        <w:rPr>
          <w:sz w:val="24"/>
          <w:szCs w:val="24"/>
          <w:lang w:eastAsia="pl-PL" w:bidi="pl-PL"/>
        </w:rPr>
        <w:t>wykorzystane w trakcie trwania umowy do bad</w:t>
      </w:r>
      <w:r>
        <w:rPr>
          <w:sz w:val="24"/>
          <w:szCs w:val="24"/>
          <w:lang w:eastAsia="pl-PL" w:bidi="pl-PL"/>
        </w:rPr>
        <w:t xml:space="preserve">ania próbek pacjentów, kalibracji, kontroli </w:t>
      </w:r>
    </w:p>
    <w:p w:rsidR="00D507B9" w:rsidRDefault="008E5464">
      <w:pPr>
        <w:tabs>
          <w:tab w:val="left" w:pos="0"/>
        </w:tabs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>jakości  i powtórek.</w:t>
      </w:r>
    </w:p>
    <w:p w:rsidR="00D507B9" w:rsidRDefault="008E5464">
      <w:pPr>
        <w:tabs>
          <w:tab w:val="left" w:pos="0"/>
        </w:tabs>
      </w:pPr>
      <w:r>
        <w:rPr>
          <w:sz w:val="24"/>
          <w:szCs w:val="24"/>
          <w:lang w:eastAsia="pl-PL" w:bidi="pl-PL"/>
        </w:rPr>
        <w:t xml:space="preserve">4.  Zamawiający w ilości oznaczeń </w:t>
      </w:r>
      <w:r>
        <w:rPr>
          <w:b/>
          <w:bCs/>
          <w:sz w:val="24"/>
          <w:szCs w:val="24"/>
          <w:lang w:eastAsia="pl-PL" w:bidi="pl-PL"/>
        </w:rPr>
        <w:t xml:space="preserve">nie uwzględnił </w:t>
      </w:r>
      <w:r>
        <w:rPr>
          <w:sz w:val="24"/>
          <w:szCs w:val="24"/>
          <w:lang w:eastAsia="pl-PL" w:bidi="pl-PL"/>
        </w:rPr>
        <w:t>ilości testów do wykonania prób</w:t>
      </w:r>
    </w:p>
    <w:p w:rsidR="00D507B9" w:rsidRDefault="008E5464">
      <w:pPr>
        <w:tabs>
          <w:tab w:val="left" w:pos="0"/>
        </w:tabs>
      </w:pPr>
      <w:r>
        <w:rPr>
          <w:sz w:val="24"/>
          <w:szCs w:val="24"/>
          <w:lang w:eastAsia="pl-PL" w:bidi="pl-PL"/>
        </w:rPr>
        <w:t>ślepych i innych oznaczeń wykonywanych przez systemy biochemiczne niezbędnych</w:t>
      </w:r>
    </w:p>
    <w:p w:rsidR="00D507B9" w:rsidRDefault="008E5464">
      <w:pPr>
        <w:tabs>
          <w:tab w:val="left" w:pos="0"/>
        </w:tabs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>do prawidłowego utrzymania meto</w:t>
      </w:r>
      <w:r>
        <w:rPr>
          <w:sz w:val="24"/>
          <w:szCs w:val="24"/>
          <w:lang w:eastAsia="pl-PL" w:bidi="pl-PL"/>
        </w:rPr>
        <w:t xml:space="preserve">d badawczych. Wykonawca doliczy te dodatkowe </w:t>
      </w:r>
    </w:p>
    <w:p w:rsidR="00D507B9" w:rsidRDefault="008E5464">
      <w:pPr>
        <w:tabs>
          <w:tab w:val="left" w:pos="0"/>
        </w:tabs>
        <w:rPr>
          <w:sz w:val="24"/>
          <w:szCs w:val="24"/>
          <w:lang w:eastAsia="pl-PL" w:bidi="pl-PL"/>
        </w:rPr>
      </w:pPr>
      <w:r>
        <w:rPr>
          <w:sz w:val="24"/>
          <w:szCs w:val="24"/>
          <w:lang w:eastAsia="pl-PL" w:bidi="pl-PL"/>
        </w:rPr>
        <w:t>ilości i uwzględni je w ofercie .</w:t>
      </w:r>
    </w:p>
    <w:p w:rsidR="00D507B9" w:rsidRDefault="008E5464">
      <w:pPr>
        <w:tabs>
          <w:tab w:val="left" w:pos="0"/>
        </w:tabs>
      </w:pPr>
      <w:r>
        <w:rPr>
          <w:sz w:val="24"/>
          <w:szCs w:val="24"/>
        </w:rPr>
        <w:t xml:space="preserve">5.  Przy obliczaniu ilości potrzebnych opakowań Wykonawca   </w:t>
      </w:r>
      <w:r>
        <w:rPr>
          <w:b/>
          <w:bCs/>
          <w:sz w:val="24"/>
          <w:szCs w:val="24"/>
        </w:rPr>
        <w:t>uwzględni  trwałość</w:t>
      </w:r>
    </w:p>
    <w:p w:rsidR="00D507B9" w:rsidRDefault="008E5464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zestawów odczynnikowych na pokładach analizatorów.</w:t>
      </w:r>
    </w:p>
    <w:p w:rsidR="00D507B9" w:rsidRDefault="00D507B9">
      <w:pPr>
        <w:tabs>
          <w:tab w:val="left" w:pos="0"/>
        </w:tabs>
      </w:pPr>
    </w:p>
    <w:p w:rsidR="00D507B9" w:rsidRDefault="008E5464">
      <w:pPr>
        <w:pStyle w:val="Tekstpodstawowy"/>
        <w:jc w:val="right"/>
      </w:pPr>
      <w:r>
        <w:t xml:space="preserve">Str. 2 z 5 </w:t>
      </w:r>
    </w:p>
    <w:p w:rsidR="00D507B9" w:rsidRDefault="008E5464">
      <w:pPr>
        <w:pStyle w:val="Tekstpodstawowy"/>
      </w:pPr>
      <w:r>
        <w:rPr>
          <w:sz w:val="24"/>
          <w:szCs w:val="24"/>
        </w:rPr>
        <w:lastRenderedPageBreak/>
        <w:t xml:space="preserve">6. Wykonawca </w:t>
      </w:r>
      <w:r>
        <w:rPr>
          <w:b/>
          <w:bCs/>
          <w:sz w:val="24"/>
          <w:szCs w:val="24"/>
        </w:rPr>
        <w:t>oświadczy</w:t>
      </w:r>
      <w:r>
        <w:rPr>
          <w:sz w:val="24"/>
          <w:szCs w:val="24"/>
        </w:rPr>
        <w:t xml:space="preserve">, że </w:t>
      </w:r>
      <w:r>
        <w:rPr>
          <w:sz w:val="24"/>
          <w:szCs w:val="24"/>
        </w:rPr>
        <w:t>wskazany w formularzu ofertowym asortyment materiałów</w:t>
      </w:r>
    </w:p>
    <w:p w:rsidR="00D507B9" w:rsidRDefault="008E546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eksploatacyjnych , płynów i odczynników dodatkowych szacowanych przez       Wykonawcę</w:t>
      </w:r>
    </w:p>
    <w:p w:rsidR="00D507B9" w:rsidRDefault="008E5464">
      <w:pPr>
        <w:pStyle w:val="Tekstpodstawowy"/>
        <w:jc w:val="both"/>
      </w:pPr>
      <w:r>
        <w:rPr>
          <w:sz w:val="24"/>
          <w:szCs w:val="24"/>
        </w:rPr>
        <w:t xml:space="preserve">jest wystarczający do prawidłowego wykonania ilości oznaczeń określonej  </w:t>
      </w:r>
    </w:p>
    <w:p w:rsidR="00D507B9" w:rsidRDefault="008E546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Zamawiającego. </w:t>
      </w:r>
    </w:p>
    <w:p w:rsidR="00D507B9" w:rsidRDefault="008E5464">
      <w:pPr>
        <w:pStyle w:val="Tekstpodstawowy"/>
      </w:pPr>
      <w:r>
        <w:rPr>
          <w:sz w:val="24"/>
          <w:szCs w:val="24"/>
        </w:rPr>
        <w:t xml:space="preserve">W przypadku </w:t>
      </w:r>
      <w:r>
        <w:rPr>
          <w:b/>
          <w:bCs/>
          <w:sz w:val="24"/>
          <w:szCs w:val="24"/>
        </w:rPr>
        <w:t>nie uwzg</w:t>
      </w:r>
      <w:r>
        <w:rPr>
          <w:b/>
          <w:bCs/>
          <w:sz w:val="24"/>
          <w:szCs w:val="24"/>
        </w:rPr>
        <w:t>lędnienia</w:t>
      </w:r>
      <w:r>
        <w:rPr>
          <w:sz w:val="24"/>
          <w:szCs w:val="24"/>
        </w:rPr>
        <w:t xml:space="preserve"> wystarczającej ilości materiałów eksploatacyjnych , </w:t>
      </w:r>
    </w:p>
    <w:p w:rsidR="00D507B9" w:rsidRDefault="008E546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płynów, odczynników dodatkowych szacowanych przez Wykonawcę potrzebnych do </w:t>
      </w:r>
    </w:p>
    <w:p w:rsidR="00D507B9" w:rsidRDefault="008E546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wykonania ilości  oznaczeń określonej przez Zamawiającego, Wykonawca zobowiązuje </w:t>
      </w:r>
    </w:p>
    <w:p w:rsidR="00D507B9" w:rsidRDefault="008E546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się do bezpłatnego zapewnienia tego</w:t>
      </w:r>
      <w:r>
        <w:rPr>
          <w:sz w:val="24"/>
          <w:szCs w:val="24"/>
        </w:rPr>
        <w:t xml:space="preserve"> asortymentu Zamawiającemu. </w:t>
      </w:r>
    </w:p>
    <w:p w:rsidR="00D507B9" w:rsidRDefault="008E546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7. Wykonawca  dołączy do pierwszej dostawy  instrukcje obsługi i konserwacji</w:t>
      </w:r>
    </w:p>
    <w:p w:rsidR="00D507B9" w:rsidRDefault="008E546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analizatorów, ulotki odczynnikowe i karty charakterystyk substancji niebezpiecznych </w:t>
      </w:r>
    </w:p>
    <w:p w:rsidR="00D507B9" w:rsidRDefault="008E546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oraz wykaz metod badawczych, wartości prawidłowych  i zakresów po</w:t>
      </w:r>
      <w:r>
        <w:rPr>
          <w:sz w:val="24"/>
          <w:szCs w:val="24"/>
        </w:rPr>
        <w:t>miarowych .</w:t>
      </w:r>
    </w:p>
    <w:p w:rsidR="00D507B9" w:rsidRDefault="008E546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8. Zamawiający zastrzega sobie prawo żądania kart katalogowych , instrukcji,</w:t>
      </w:r>
    </w:p>
    <w:p w:rsidR="00D507B9" w:rsidRDefault="008E546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szczegółowych informacji i opisów zaoferowanych produktów w przypadku wystąpienia </w:t>
      </w:r>
    </w:p>
    <w:p w:rsidR="00D507B9" w:rsidRDefault="008E546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wątpliwości co do zgodności oferty z wymaganiami.</w:t>
      </w:r>
    </w:p>
    <w:p w:rsidR="00D507B9" w:rsidRDefault="00D507B9">
      <w:pPr>
        <w:pStyle w:val="Tekstpodstawowy"/>
        <w:rPr>
          <w:sz w:val="24"/>
          <w:szCs w:val="24"/>
        </w:rPr>
      </w:pPr>
    </w:p>
    <w:p w:rsidR="00D507B9" w:rsidRDefault="008E5464">
      <w:pPr>
        <w:pStyle w:val="Tekstpodstawowy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Parametry graniczne dla dwu anali</w:t>
      </w:r>
      <w:r>
        <w:rPr>
          <w:b/>
          <w:bCs/>
          <w:i/>
          <w:iCs/>
          <w:sz w:val="26"/>
          <w:szCs w:val="26"/>
        </w:rPr>
        <w:t>zatorów biochemicznych</w:t>
      </w:r>
    </w:p>
    <w:p w:rsidR="00D507B9" w:rsidRDefault="00D507B9">
      <w:pPr>
        <w:pStyle w:val="Tekstpodstawowy"/>
        <w:rPr>
          <w:b/>
          <w:bCs/>
          <w:i/>
          <w:iCs/>
          <w:sz w:val="26"/>
          <w:szCs w:val="26"/>
        </w:rPr>
      </w:pPr>
    </w:p>
    <w:tbl>
      <w:tblPr>
        <w:tblW w:w="9518" w:type="dxa"/>
        <w:tblInd w:w="-218" w:type="dxa"/>
        <w:tblLook w:val="0000"/>
      </w:tblPr>
      <w:tblGrid>
        <w:gridCol w:w="564"/>
        <w:gridCol w:w="8954"/>
      </w:tblGrid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Parametry techniczno -eksploatacyjne wymagane dla obu analizatorów</w:t>
            </w:r>
          </w:p>
          <w:p w:rsidR="00D507B9" w:rsidRDefault="00D507B9">
            <w:pPr>
              <w:snapToGrid w:val="0"/>
              <w:rPr>
                <w:b/>
                <w:bCs/>
              </w:rPr>
            </w:pP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Dwa analizatory biochemiczne wolnostojące, w pełni automatyczne, wieloparametrowe , do badań rutynowych i cito, z automatycznym podajnikiem próbek. </w:t>
            </w:r>
          </w:p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Oprogramowanie w języku polskim.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Oba analizatory fabrycznie nowe lub używane i odnowione, wyprodukowane nie wcześniej niż w  2017 r. 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Statywy na próbki są zróżnicowane kolorystycznie pod względem oznaczanego materiału, są wstawiane do automatycznego </w:t>
            </w:r>
            <w:r>
              <w:rPr>
                <w:sz w:val="24"/>
                <w:szCs w:val="24"/>
              </w:rPr>
              <w:t>podajnika bez przerywania pracy analizatorów.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Chłodzone przedziały odczynnikowe 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</w:pPr>
            <w:r>
              <w:rPr>
                <w:sz w:val="24"/>
                <w:szCs w:val="24"/>
              </w:rPr>
              <w:t xml:space="preserve">Wydajność jednego analizatora  (dużego) minimum </w:t>
            </w:r>
            <w:r>
              <w:rPr>
                <w:color w:val="000000"/>
                <w:sz w:val="24"/>
                <w:szCs w:val="24"/>
              </w:rPr>
              <w:t xml:space="preserve">800 testów </w:t>
            </w:r>
            <w:r>
              <w:rPr>
                <w:sz w:val="24"/>
                <w:szCs w:val="24"/>
              </w:rPr>
              <w:t>fotometrycznych na godzinę i minimum</w:t>
            </w:r>
            <w:r>
              <w:rPr>
                <w:color w:val="111111"/>
                <w:sz w:val="24"/>
                <w:szCs w:val="24"/>
              </w:rPr>
              <w:t xml:space="preserve"> 400 </w:t>
            </w:r>
            <w:r>
              <w:rPr>
                <w:sz w:val="24"/>
                <w:szCs w:val="24"/>
              </w:rPr>
              <w:t xml:space="preserve">testów ISE (Na, K, Cl) na godzinę. Wydajność drugiego analizatora (mniejszego) minimum </w:t>
            </w:r>
            <w:r>
              <w:rPr>
                <w:color w:val="1C1C1C"/>
                <w:sz w:val="24"/>
                <w:szCs w:val="24"/>
              </w:rPr>
              <w:t>400 te</w:t>
            </w:r>
            <w:r>
              <w:rPr>
                <w:sz w:val="24"/>
                <w:szCs w:val="24"/>
              </w:rPr>
              <w:t>stów fotometrycznych na godzinę i minimum 4</w:t>
            </w:r>
            <w:r>
              <w:rPr>
                <w:color w:val="1C1C1C"/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>testów ISE (Na, K, Cl) na godzinę. W materiałach producenta podano wymagane wydajności analizatorów.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Automatyczne </w:t>
            </w:r>
            <w:r>
              <w:rPr>
                <w:sz w:val="24"/>
                <w:szCs w:val="24"/>
              </w:rPr>
              <w:t>monitorowanie ilości odczynników na pokładach analizatorów.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 analizatory pracujące w systemie tzw.” mokrej chemii”.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 analizatory pracujące całodobowo, w trybie „pacjent po pacjencie”.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Wykonywanie badań cito bez przerywania ciągłości pracy analizatorów. 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Otwarty system odczynnikowy umożliwiający wykonywanie badań z zakresu chemii klinicznej, białek specyficznych, monitorowania  leków , z  zastosowaniem metody fotometrii, </w:t>
            </w:r>
            <w:r>
              <w:rPr>
                <w:sz w:val="24"/>
                <w:szCs w:val="24"/>
              </w:rPr>
              <w:t>turbidymetrii i potencjometrii  pośredniej lub bezpośredniej 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8E5464">
            <w:pPr>
              <w:snapToGrid w:val="0"/>
              <w:jc w:val="right"/>
            </w:pPr>
            <w:r>
              <w:t xml:space="preserve">str. 3 z 5 </w:t>
            </w:r>
          </w:p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Minimum 50 pozycji odczynnikowych na pokładzie  analizatora dużego (  o wydajności 800 testów) i minimum 35  na pokładzie  analizatora mniejszego ( o wydajności 400 testów).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Każdy analizator posiada wbudowany zintegrowany  moduł ISE z możliwością wymiany i zakupu pojedynczych elektrod w module, pozwalający na jednoczesne oznaczanie sodu, potasu i chlorków metodą potencjometrii pośredniej lub bezpośredniej ze stabilnością k</w:t>
            </w:r>
            <w:r>
              <w:rPr>
                <w:sz w:val="24"/>
                <w:szCs w:val="24"/>
              </w:rPr>
              <w:t>alibracji nie krótszą niż 24 godz.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Wykonywanie oznaczeń w próbkach pierwotnych i wtórnych.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Wykonywanie oznaczeń w surowicy, osoczu, moczu  i w płynach z jam ciała.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Dwukierunkowa komunikacja z laboratoryjnym systemem informatycznym obsługującym </w:t>
            </w:r>
            <w:r>
              <w:rPr>
                <w:sz w:val="24"/>
                <w:szCs w:val="24"/>
              </w:rPr>
              <w:t>Laboratorium ( Asseco), podłączenie obu analizatorów do LIS, uwzględnione w ofercie, zostanie dokonane w terminie ustalonym z Zamawiającym, nie później niż  7 dni od daty instalacji. Wykonawca jest zobowiązany przy każdej zmianie wersji oprogramowania do z</w:t>
            </w:r>
            <w:r>
              <w:rPr>
                <w:sz w:val="24"/>
                <w:szCs w:val="24"/>
              </w:rPr>
              <w:t>adbania, aby oba analizatory współpracowały z LIS Zamawiającego.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Analizatory są wyposażone w zewnętrzne i wewnętrzne czytniki kodów kreskowych.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Odczynniki, próbki pacjentów, kalibratorów i materiałów kontrolnych  są identyfikowane na podstawie </w:t>
            </w:r>
            <w:r>
              <w:rPr>
                <w:sz w:val="24"/>
                <w:szCs w:val="24"/>
              </w:rPr>
              <w:t>kodów kreskowych w każdym miejscu w analizatorze.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Automatyczna detekcja skrzepu w próbce, zbyt małej ilości próbki i poziomu odczynnika.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Automatyczne rozcieńczanie próbki i powtórna analiza po przekroczeniu zakresu pomiarowego.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Kuwety reakcyjne</w:t>
            </w:r>
            <w:r>
              <w:rPr>
                <w:sz w:val="24"/>
                <w:szCs w:val="24"/>
              </w:rPr>
              <w:t xml:space="preserve"> wielorazowego użytku, ze szkła kwarcowego , bez konieczności wymiany przez użytkownika w okresie trwania umowy 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Stacja uzdatniania wody do każdego analizatora o wydajności dostosowanej do potrzeb.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</w:pPr>
            <w:r>
              <w:rPr>
                <w:sz w:val="24"/>
                <w:szCs w:val="24"/>
              </w:rPr>
              <w:t xml:space="preserve">Serwis stacji uzdatniania wody, materiały </w:t>
            </w:r>
            <w:r>
              <w:rPr>
                <w:sz w:val="24"/>
                <w:szCs w:val="24"/>
              </w:rPr>
              <w:t>eksploatacyjne , w tym filtry wody oraz odbiór zużytych filtrów do stacji wody zapewni Wykonawca.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Analizator, odczynniki i kalibratory stanowią w co najmniej 90 % spójny system analityczno – odczynnikowy , czyli pochodzą od tego samego producenta.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Oba  systemy w pełni kompatybilne ze sobą, wykonujące pełen panel badań w oparciu o jednakowe odczynniki, kalibratory, materiały kontrolne  i zużywalne.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odrębnego wykalibrowania dwu różnych serii jednego rodzaju odczynnika 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Analizator ma</w:t>
            </w:r>
            <w:r>
              <w:rPr>
                <w:sz w:val="24"/>
                <w:szCs w:val="24"/>
              </w:rPr>
              <w:t xml:space="preserve"> możliwość zachowania w pamięci kalibracji dwóch różnych serii jednego rodzaju odczynnika.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Oddzielne igły pipetujące dla odczynników i  próbek 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Wbudowane programy kontroli jakości badań , z flagowaniem wyników przekraczających wartości należne,  z</w:t>
            </w:r>
            <w:r>
              <w:rPr>
                <w:sz w:val="24"/>
                <w:szCs w:val="24"/>
              </w:rPr>
              <w:t xml:space="preserve"> kartami kontroli jakości (opracowanie liczbowe i graficzne) i wykresami wyników dla dwóch skorelowanych materiałów kontrolnych – diagramy Youdena.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Analizatory  posiadają funkcję przedanalitycznego sprawdzania próbek pod kątem obecności hemolizy, lipem</w:t>
            </w:r>
            <w:r>
              <w:rPr>
                <w:sz w:val="24"/>
                <w:szCs w:val="24"/>
              </w:rPr>
              <w:t>ii, ikterii oraz automatycznej interpretacji wpływu tych interferencji na wyniki badań.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drukarka zewnętrzna wraz z materiałami eksploatacyjnymi ( bębny , tonery na cały okres obowiązywania umowy), do której zostaną podłączone oba analizatory oraz UPS</w:t>
            </w:r>
            <w:r>
              <w:rPr>
                <w:sz w:val="24"/>
                <w:szCs w:val="24"/>
              </w:rPr>
              <w:t xml:space="preserve"> do każdego analizatora.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Instalacja aparatów i ich wyposażenia oraz szkolenie personelu w siedzibie  Zamawiającego 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  <w:p w:rsidR="00D507B9" w:rsidRDefault="008E5464">
            <w:pPr>
              <w:snapToGrid w:val="0"/>
              <w:jc w:val="right"/>
            </w:pPr>
            <w:r>
              <w:t>str. 4 z 5</w:t>
            </w:r>
          </w:p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Przedział reakcyjny termostatowany bez konieczności uzupełniania i okresowej wymiany jakichkolwiek płynów </w:t>
            </w:r>
            <w:r>
              <w:rPr>
                <w:sz w:val="24"/>
                <w:szCs w:val="24"/>
              </w:rPr>
              <w:t>systemowych, np. olej, woda, inne.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Serwisowanie, okresowe  przeglądy serwisowe obu analizatorów i wymiany części uwzględniono w ofercie.</w:t>
            </w:r>
          </w:p>
        </w:tc>
      </w:tr>
      <w:tr w:rsidR="00D507B9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Oświadczenie dla analizatorów i odczynników o ich zgodności  z dyrektywą 98/79/WE . Zamawiający zastrzega sobie</w:t>
            </w:r>
            <w:r>
              <w:rPr>
                <w:sz w:val="24"/>
                <w:szCs w:val="24"/>
              </w:rPr>
              <w:t xml:space="preserve"> prawo do żądania  dostarczenia deklaracji zgodności.</w:t>
            </w:r>
          </w:p>
        </w:tc>
      </w:tr>
      <w:tr w:rsidR="00D507B9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7B9" w:rsidRDefault="008E546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20 użytkowników oferowanej grupy analizatorów uczestniczy w zewnątrz laboratoryjnym programie jakości badań prowadzonym przez COBJwDL w Łodzi.</w:t>
            </w:r>
          </w:p>
        </w:tc>
      </w:tr>
    </w:tbl>
    <w:p w:rsidR="00D507B9" w:rsidRDefault="00D507B9">
      <w:pPr>
        <w:jc w:val="right"/>
        <w:rPr>
          <w:sz w:val="28"/>
        </w:rPr>
      </w:pPr>
    </w:p>
    <w:p w:rsidR="00D507B9" w:rsidRDefault="00D507B9">
      <w:pPr>
        <w:pStyle w:val="Tekstpodstawowy"/>
        <w:jc w:val="right"/>
        <w:rPr>
          <w:sz w:val="28"/>
        </w:rPr>
      </w:pPr>
    </w:p>
    <w:p w:rsidR="00D507B9" w:rsidRDefault="00D507B9">
      <w:pPr>
        <w:pStyle w:val="Tekstpodstawowy"/>
        <w:jc w:val="right"/>
        <w:rPr>
          <w:sz w:val="28"/>
        </w:rPr>
      </w:pPr>
    </w:p>
    <w:p w:rsidR="00D507B9" w:rsidRDefault="008E5464">
      <w:pPr>
        <w:pStyle w:val="Tekstpodstawowy"/>
        <w:rPr>
          <w:b/>
          <w:bCs/>
          <w:sz w:val="28"/>
        </w:rPr>
      </w:pPr>
      <w:r>
        <w:rPr>
          <w:b/>
          <w:bCs/>
          <w:sz w:val="28"/>
        </w:rPr>
        <w:t>Parametry oceniane:</w:t>
      </w:r>
    </w:p>
    <w:p w:rsidR="00D507B9" w:rsidRDefault="00D507B9">
      <w:pPr>
        <w:pStyle w:val="Tekstpodstawowy"/>
        <w:rPr>
          <w:b/>
          <w:bCs/>
          <w:sz w:val="28"/>
        </w:rPr>
      </w:pPr>
    </w:p>
    <w:tbl>
      <w:tblPr>
        <w:tblW w:w="9201" w:type="dxa"/>
        <w:tblInd w:w="-5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0"/>
        <w:gridCol w:w="4635"/>
        <w:gridCol w:w="1755"/>
        <w:gridCol w:w="130"/>
        <w:gridCol w:w="1871"/>
      </w:tblGrid>
      <w:tr w:rsidR="00D507B9">
        <w:trPr>
          <w:trHeight w:val="375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07B9" w:rsidRDefault="008E5464">
            <w:pPr>
              <w:pStyle w:val="Zawartotabeli"/>
            </w:pPr>
            <w:r>
              <w:t>Lp.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07B9" w:rsidRDefault="008E5464">
            <w:pPr>
              <w:pStyle w:val="Zawartotabeli"/>
              <w:snapToGrid w:val="0"/>
            </w:pPr>
            <w:r>
              <w:t>Parametr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07B9" w:rsidRDefault="00D507B9">
            <w:pPr>
              <w:pStyle w:val="Zawartotabeli"/>
              <w:snapToGrid w:val="0"/>
            </w:pP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07B9" w:rsidRDefault="00D507B9">
            <w:pPr>
              <w:snapToGrid w:val="0"/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07B9" w:rsidRDefault="00D507B9">
            <w:pPr>
              <w:pStyle w:val="Zawartotabeli"/>
              <w:snapToGrid w:val="0"/>
            </w:pPr>
          </w:p>
        </w:tc>
      </w:tr>
      <w:tr w:rsidR="00D507B9"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07B9" w:rsidRDefault="008E5464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07B9" w:rsidRDefault="008E5464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odniesieniu do testów rzadko wykonywanych ( od 500 do  4 000/24 mies.) możliwe jest porcjowanie odczynników umożliwiające ich ekonomiczne wykorzystanie w okresach ich gwarantowanej stabilności na pokładzie analizatora.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07B9" w:rsidRDefault="00D507B9">
            <w:pPr>
              <w:pStyle w:val="Zawartotabeli"/>
              <w:snapToGrid w:val="0"/>
              <w:rPr>
                <w:sz w:val="24"/>
                <w:szCs w:val="24"/>
              </w:rPr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507B9" w:rsidRDefault="00D507B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507B9" w:rsidRDefault="008E5464">
            <w:pPr>
              <w:pStyle w:val="Zawartotabeli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– 20 pkt.</w:t>
            </w:r>
          </w:p>
          <w:p w:rsidR="00D507B9" w:rsidRDefault="00D507B9">
            <w:pPr>
              <w:pStyle w:val="Zawartotabeli"/>
              <w:rPr>
                <w:sz w:val="24"/>
                <w:szCs w:val="24"/>
              </w:rPr>
            </w:pPr>
          </w:p>
          <w:p w:rsidR="00D507B9" w:rsidRDefault="008E5464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– 0 pkt.</w:t>
            </w:r>
          </w:p>
        </w:tc>
      </w:tr>
    </w:tbl>
    <w:p w:rsidR="00D507B9" w:rsidRDefault="00D507B9">
      <w:pPr>
        <w:pStyle w:val="Tekstpodstawowy"/>
        <w:rPr>
          <w:sz w:val="28"/>
        </w:rPr>
      </w:pPr>
    </w:p>
    <w:p w:rsidR="00D507B9" w:rsidRDefault="00D507B9">
      <w:pPr>
        <w:snapToGrid w:val="0"/>
        <w:rPr>
          <w:sz w:val="24"/>
          <w:szCs w:val="24"/>
        </w:rPr>
      </w:pPr>
    </w:p>
    <w:p w:rsidR="00D507B9" w:rsidRDefault="008E5464">
      <w:pPr>
        <w:snapToGrid w:val="0"/>
        <w:rPr>
          <w:sz w:val="24"/>
          <w:szCs w:val="24"/>
        </w:rPr>
      </w:pPr>
      <w:r>
        <w:rPr>
          <w:sz w:val="24"/>
          <w:szCs w:val="24"/>
        </w:rPr>
        <w:t>Klimatyzator o mocy  5-7  KW do pracowni o wymiarach : 6,5 m x 2,5 m x 2,8 m   wyposażonej w dwa duże analizatory.</w:t>
      </w:r>
    </w:p>
    <w:p w:rsidR="00D507B9" w:rsidRDefault="00D507B9">
      <w:pPr>
        <w:snapToGrid w:val="0"/>
        <w:rPr>
          <w:sz w:val="24"/>
          <w:szCs w:val="24"/>
        </w:rPr>
      </w:pPr>
    </w:p>
    <w:p w:rsidR="00D507B9" w:rsidRDefault="008E5464">
      <w:pPr>
        <w:snapToGrid w:val="0"/>
        <w:rPr>
          <w:sz w:val="24"/>
        </w:rPr>
      </w:pPr>
      <w:r>
        <w:rPr>
          <w:sz w:val="24"/>
          <w:szCs w:val="24"/>
        </w:rPr>
        <w:t>Termin dostawy analizatorów oraz klimatyzatora nie dłuższy niż 30 dni od dnia zawarcia umowy.</w:t>
      </w:r>
    </w:p>
    <w:p w:rsidR="00D507B9" w:rsidRDefault="00D507B9">
      <w:pPr>
        <w:pStyle w:val="Tekstpodstawowy"/>
        <w:jc w:val="right"/>
        <w:rPr>
          <w:sz w:val="28"/>
        </w:rPr>
      </w:pPr>
    </w:p>
    <w:p w:rsidR="00D507B9" w:rsidRDefault="00D507B9">
      <w:pPr>
        <w:pStyle w:val="Tekstpodstawowy"/>
        <w:jc w:val="right"/>
        <w:rPr>
          <w:sz w:val="28"/>
        </w:rPr>
      </w:pPr>
    </w:p>
    <w:p w:rsidR="00D507B9" w:rsidRDefault="008E5464">
      <w:pPr>
        <w:pStyle w:val="Tekstpodstawowy"/>
        <w:jc w:val="right"/>
      </w:pPr>
      <w:r>
        <w:t>str. 5 z 5</w:t>
      </w:r>
    </w:p>
    <w:p w:rsidR="00D507B9" w:rsidRDefault="00D507B9">
      <w:pPr>
        <w:pStyle w:val="Tekstpodstawowy"/>
        <w:jc w:val="right"/>
      </w:pPr>
    </w:p>
    <w:p w:rsidR="00D507B9" w:rsidRDefault="00D507B9">
      <w:pPr>
        <w:pStyle w:val="Tekstpodstawowy"/>
        <w:jc w:val="right"/>
      </w:pPr>
    </w:p>
    <w:p w:rsidR="00D507B9" w:rsidRDefault="00D507B9">
      <w:pPr>
        <w:pStyle w:val="Tekstpodstawowy"/>
        <w:jc w:val="right"/>
      </w:pPr>
    </w:p>
    <w:p w:rsidR="00D507B9" w:rsidRDefault="00D507B9">
      <w:pPr>
        <w:pStyle w:val="Tekstpodstawowy"/>
        <w:jc w:val="right"/>
      </w:pPr>
    </w:p>
    <w:p w:rsidR="00D507B9" w:rsidRDefault="00D507B9">
      <w:pPr>
        <w:pStyle w:val="Tekstpodstawowy"/>
        <w:jc w:val="right"/>
      </w:pPr>
    </w:p>
    <w:p w:rsidR="00D507B9" w:rsidRDefault="00D507B9">
      <w:pPr>
        <w:pStyle w:val="Tekstpodstawowy"/>
        <w:jc w:val="right"/>
      </w:pPr>
    </w:p>
    <w:p w:rsidR="00D507B9" w:rsidRDefault="00D507B9">
      <w:pPr>
        <w:pStyle w:val="Tekstpodstawowy"/>
        <w:jc w:val="right"/>
      </w:pPr>
    </w:p>
    <w:sectPr w:rsidR="00D507B9" w:rsidSect="00D507B9">
      <w:footerReference w:type="default" r:id="rId7"/>
      <w:pgSz w:w="11906" w:h="16838"/>
      <w:pgMar w:top="1417" w:right="1417" w:bottom="1931" w:left="1417" w:header="0" w:footer="1417" w:gutter="0"/>
      <w:cols w:space="708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464" w:rsidRDefault="008E5464" w:rsidP="00D507B9">
      <w:r>
        <w:separator/>
      </w:r>
    </w:p>
  </w:endnote>
  <w:endnote w:type="continuationSeparator" w:id="1">
    <w:p w:rsidR="008E5464" w:rsidRDefault="008E5464" w:rsidP="00D50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7B9" w:rsidRDefault="00D507B9">
    <w:pPr>
      <w:tabs>
        <w:tab w:val="left" w:pos="14400"/>
      </w:tabs>
      <w:jc w:val="right"/>
    </w:pPr>
  </w:p>
  <w:p w:rsidR="00D507B9" w:rsidRDefault="00D507B9">
    <w:pPr>
      <w:tabs>
        <w:tab w:val="left" w:pos="14400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464" w:rsidRDefault="008E5464" w:rsidP="00D507B9">
      <w:r>
        <w:separator/>
      </w:r>
    </w:p>
  </w:footnote>
  <w:footnote w:type="continuationSeparator" w:id="1">
    <w:p w:rsidR="008E5464" w:rsidRDefault="008E5464" w:rsidP="00D50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B20F6"/>
    <w:multiLevelType w:val="multilevel"/>
    <w:tmpl w:val="51E6697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507B9"/>
    <w:rsid w:val="008342C2"/>
    <w:rsid w:val="008E5464"/>
    <w:rsid w:val="00D507B9"/>
    <w:rsid w:val="00D7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7B9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D507B9"/>
    <w:pPr>
      <w:keepNext/>
      <w:numPr>
        <w:numId w:val="1"/>
      </w:numPr>
      <w:jc w:val="center"/>
      <w:outlineLvl w:val="0"/>
    </w:pPr>
    <w:rPr>
      <w:sz w:val="28"/>
    </w:rPr>
  </w:style>
  <w:style w:type="paragraph" w:customStyle="1" w:styleId="Heading2">
    <w:name w:val="Heading 2"/>
    <w:basedOn w:val="Normalny"/>
    <w:next w:val="Normalny"/>
    <w:qFormat/>
    <w:rsid w:val="00D507B9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customStyle="1" w:styleId="Heading3">
    <w:name w:val="Heading 3"/>
    <w:basedOn w:val="Normalny"/>
    <w:next w:val="Normalny"/>
    <w:qFormat/>
    <w:rsid w:val="00D507B9"/>
    <w:pPr>
      <w:keepNext/>
      <w:numPr>
        <w:ilvl w:val="2"/>
        <w:numId w:val="1"/>
      </w:numPr>
      <w:outlineLvl w:val="2"/>
    </w:pPr>
    <w:rPr>
      <w:b/>
      <w:sz w:val="28"/>
    </w:rPr>
  </w:style>
  <w:style w:type="paragraph" w:customStyle="1" w:styleId="Heading8">
    <w:name w:val="Heading 8"/>
    <w:basedOn w:val="Normalny"/>
    <w:next w:val="Normalny"/>
    <w:qFormat/>
    <w:rsid w:val="00D507B9"/>
    <w:pPr>
      <w:keepNext/>
      <w:numPr>
        <w:ilvl w:val="7"/>
        <w:numId w:val="1"/>
      </w:numPr>
      <w:jc w:val="center"/>
      <w:outlineLvl w:val="7"/>
    </w:pPr>
    <w:rPr>
      <w:rFonts w:ascii="Tahoma" w:eastAsia="Tahoma" w:hAnsi="Tahoma" w:cs="Tahoma"/>
      <w:b/>
      <w:sz w:val="24"/>
    </w:rPr>
  </w:style>
  <w:style w:type="character" w:customStyle="1" w:styleId="WW8Num1z0">
    <w:name w:val="WW8Num1z0"/>
    <w:qFormat/>
    <w:rsid w:val="00D507B9"/>
    <w:rPr>
      <w:rFonts w:ascii="Symbol" w:hAnsi="Symbol" w:cs="Symbol"/>
    </w:rPr>
  </w:style>
  <w:style w:type="character" w:customStyle="1" w:styleId="WW8Num1z1">
    <w:name w:val="WW8Num1z1"/>
    <w:qFormat/>
    <w:rsid w:val="00D507B9"/>
  </w:style>
  <w:style w:type="character" w:customStyle="1" w:styleId="WW8Num1z2">
    <w:name w:val="WW8Num1z2"/>
    <w:qFormat/>
    <w:rsid w:val="00D507B9"/>
  </w:style>
  <w:style w:type="character" w:customStyle="1" w:styleId="WW8Num1z3">
    <w:name w:val="WW8Num1z3"/>
    <w:qFormat/>
    <w:rsid w:val="00D507B9"/>
  </w:style>
  <w:style w:type="character" w:customStyle="1" w:styleId="WW8Num1z4">
    <w:name w:val="WW8Num1z4"/>
    <w:qFormat/>
    <w:rsid w:val="00D507B9"/>
  </w:style>
  <w:style w:type="character" w:customStyle="1" w:styleId="WW8Num1z5">
    <w:name w:val="WW8Num1z5"/>
    <w:qFormat/>
    <w:rsid w:val="00D507B9"/>
  </w:style>
  <w:style w:type="character" w:customStyle="1" w:styleId="WW8Num1z6">
    <w:name w:val="WW8Num1z6"/>
    <w:qFormat/>
    <w:rsid w:val="00D507B9"/>
  </w:style>
  <w:style w:type="character" w:customStyle="1" w:styleId="WW8Num1z7">
    <w:name w:val="WW8Num1z7"/>
    <w:qFormat/>
    <w:rsid w:val="00D507B9"/>
  </w:style>
  <w:style w:type="character" w:customStyle="1" w:styleId="WW8Num1z8">
    <w:name w:val="WW8Num1z8"/>
    <w:qFormat/>
    <w:rsid w:val="00D507B9"/>
  </w:style>
  <w:style w:type="character" w:customStyle="1" w:styleId="WW8Num2z0">
    <w:name w:val="WW8Num2z0"/>
    <w:qFormat/>
    <w:rsid w:val="00D507B9"/>
    <w:rPr>
      <w:rFonts w:ascii="Symbol" w:eastAsia="Times New Roman" w:hAnsi="Symbol" w:cs="Symbol"/>
      <w:i w:val="0"/>
      <w:iCs w:val="0"/>
      <w:color w:val="auto"/>
      <w:sz w:val="24"/>
      <w:szCs w:val="24"/>
      <w:lang w:val="pl-PL" w:bidi="pl-PL"/>
    </w:rPr>
  </w:style>
  <w:style w:type="character" w:customStyle="1" w:styleId="WW8Num2z1">
    <w:name w:val="WW8Num2z1"/>
    <w:qFormat/>
    <w:rsid w:val="00D507B9"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sid w:val="00D507B9"/>
  </w:style>
  <w:style w:type="character" w:customStyle="1" w:styleId="WW8Num2z3">
    <w:name w:val="WW8Num2z3"/>
    <w:qFormat/>
    <w:rsid w:val="00D507B9"/>
  </w:style>
  <w:style w:type="character" w:customStyle="1" w:styleId="WW8Num2z4">
    <w:name w:val="WW8Num2z4"/>
    <w:qFormat/>
    <w:rsid w:val="00D507B9"/>
  </w:style>
  <w:style w:type="character" w:customStyle="1" w:styleId="WW8Num2z5">
    <w:name w:val="WW8Num2z5"/>
    <w:qFormat/>
    <w:rsid w:val="00D507B9"/>
  </w:style>
  <w:style w:type="character" w:customStyle="1" w:styleId="WW8Num2z6">
    <w:name w:val="WW8Num2z6"/>
    <w:qFormat/>
    <w:rsid w:val="00D507B9"/>
  </w:style>
  <w:style w:type="character" w:customStyle="1" w:styleId="WW8Num2z7">
    <w:name w:val="WW8Num2z7"/>
    <w:qFormat/>
    <w:rsid w:val="00D507B9"/>
  </w:style>
  <w:style w:type="character" w:customStyle="1" w:styleId="WW8Num2z8">
    <w:name w:val="WW8Num2z8"/>
    <w:qFormat/>
    <w:rsid w:val="00D507B9"/>
  </w:style>
  <w:style w:type="character" w:customStyle="1" w:styleId="WW8Num3z0">
    <w:name w:val="WW8Num3z0"/>
    <w:qFormat/>
    <w:rsid w:val="00D507B9"/>
    <w:rPr>
      <w:rFonts w:ascii="StarSymbol;Arial Unicode MS" w:hAnsi="StarSymbol;Arial Unicode MS" w:cs="StarSymbol;Arial Unicode MS"/>
      <w:sz w:val="18"/>
      <w:szCs w:val="18"/>
      <w:lang w:val="pl-PL"/>
    </w:rPr>
  </w:style>
  <w:style w:type="character" w:customStyle="1" w:styleId="WW8Num3z1">
    <w:name w:val="WW8Num3z1"/>
    <w:qFormat/>
    <w:rsid w:val="00D507B9"/>
    <w:rPr>
      <w:rFonts w:ascii="Wingdings 2" w:hAnsi="Wingdings 2" w:cs="StarSymbol;Arial Unicode MS"/>
      <w:sz w:val="18"/>
      <w:szCs w:val="18"/>
    </w:rPr>
  </w:style>
  <w:style w:type="character" w:customStyle="1" w:styleId="WW8Num3z2">
    <w:name w:val="WW8Num3z2"/>
    <w:qFormat/>
    <w:rsid w:val="00D507B9"/>
  </w:style>
  <w:style w:type="character" w:customStyle="1" w:styleId="WW8Num3z3">
    <w:name w:val="WW8Num3z3"/>
    <w:qFormat/>
    <w:rsid w:val="00D507B9"/>
  </w:style>
  <w:style w:type="character" w:customStyle="1" w:styleId="WW8Num3z4">
    <w:name w:val="WW8Num3z4"/>
    <w:qFormat/>
    <w:rsid w:val="00D507B9"/>
  </w:style>
  <w:style w:type="character" w:customStyle="1" w:styleId="WW8Num3z5">
    <w:name w:val="WW8Num3z5"/>
    <w:qFormat/>
    <w:rsid w:val="00D507B9"/>
  </w:style>
  <w:style w:type="character" w:customStyle="1" w:styleId="WW8Num3z6">
    <w:name w:val="WW8Num3z6"/>
    <w:qFormat/>
    <w:rsid w:val="00D507B9"/>
  </w:style>
  <w:style w:type="character" w:customStyle="1" w:styleId="WW8Num3z7">
    <w:name w:val="WW8Num3z7"/>
    <w:qFormat/>
    <w:rsid w:val="00D507B9"/>
  </w:style>
  <w:style w:type="character" w:customStyle="1" w:styleId="WW8Num3z8">
    <w:name w:val="WW8Num3z8"/>
    <w:qFormat/>
    <w:rsid w:val="00D507B9"/>
  </w:style>
  <w:style w:type="character" w:customStyle="1" w:styleId="WW8Num4z0">
    <w:name w:val="WW8Num4z0"/>
    <w:qFormat/>
    <w:rsid w:val="00D507B9"/>
    <w:rPr>
      <w:lang w:val="pl-PL"/>
    </w:rPr>
  </w:style>
  <w:style w:type="character" w:customStyle="1" w:styleId="WW8Num4z1">
    <w:name w:val="WW8Num4z1"/>
    <w:qFormat/>
    <w:rsid w:val="00D507B9"/>
  </w:style>
  <w:style w:type="character" w:customStyle="1" w:styleId="WW8Num4z2">
    <w:name w:val="WW8Num4z2"/>
    <w:qFormat/>
    <w:rsid w:val="00D507B9"/>
  </w:style>
  <w:style w:type="character" w:customStyle="1" w:styleId="WW8Num4z3">
    <w:name w:val="WW8Num4z3"/>
    <w:qFormat/>
    <w:rsid w:val="00D507B9"/>
  </w:style>
  <w:style w:type="character" w:customStyle="1" w:styleId="WW8Num4z4">
    <w:name w:val="WW8Num4z4"/>
    <w:qFormat/>
    <w:rsid w:val="00D507B9"/>
  </w:style>
  <w:style w:type="character" w:customStyle="1" w:styleId="WW8Num4z5">
    <w:name w:val="WW8Num4z5"/>
    <w:qFormat/>
    <w:rsid w:val="00D507B9"/>
  </w:style>
  <w:style w:type="character" w:customStyle="1" w:styleId="WW8Num4z6">
    <w:name w:val="WW8Num4z6"/>
    <w:qFormat/>
    <w:rsid w:val="00D507B9"/>
  </w:style>
  <w:style w:type="character" w:customStyle="1" w:styleId="WW8Num4z7">
    <w:name w:val="WW8Num4z7"/>
    <w:qFormat/>
    <w:rsid w:val="00D507B9"/>
  </w:style>
  <w:style w:type="character" w:customStyle="1" w:styleId="WW8Num4z8">
    <w:name w:val="WW8Num4z8"/>
    <w:qFormat/>
    <w:rsid w:val="00D507B9"/>
  </w:style>
  <w:style w:type="character" w:customStyle="1" w:styleId="Absatz-Standardschriftart">
    <w:name w:val="Absatz-Standardschriftart"/>
    <w:qFormat/>
    <w:rsid w:val="00D507B9"/>
  </w:style>
  <w:style w:type="character" w:customStyle="1" w:styleId="WW-Absatz-Standardschriftart">
    <w:name w:val="WW-Absatz-Standardschriftart"/>
    <w:qFormat/>
    <w:rsid w:val="00D507B9"/>
  </w:style>
  <w:style w:type="character" w:customStyle="1" w:styleId="WW-Absatz-Standardschriftart1">
    <w:name w:val="WW-Absatz-Standardschriftart1"/>
    <w:qFormat/>
    <w:rsid w:val="00D507B9"/>
  </w:style>
  <w:style w:type="character" w:customStyle="1" w:styleId="WW-Absatz-Standardschriftart11">
    <w:name w:val="WW-Absatz-Standardschriftart11"/>
    <w:qFormat/>
    <w:rsid w:val="00D507B9"/>
  </w:style>
  <w:style w:type="character" w:customStyle="1" w:styleId="WW-Absatz-Standardschriftart111">
    <w:name w:val="WW-Absatz-Standardschriftart111"/>
    <w:qFormat/>
    <w:rsid w:val="00D507B9"/>
  </w:style>
  <w:style w:type="character" w:customStyle="1" w:styleId="WW-Absatz-Standardschriftart1111">
    <w:name w:val="WW-Absatz-Standardschriftart1111"/>
    <w:qFormat/>
    <w:rsid w:val="00D507B9"/>
  </w:style>
  <w:style w:type="character" w:customStyle="1" w:styleId="WW-Absatz-Standardschriftart11111">
    <w:name w:val="WW-Absatz-Standardschriftart11111"/>
    <w:qFormat/>
    <w:rsid w:val="00D507B9"/>
  </w:style>
  <w:style w:type="character" w:customStyle="1" w:styleId="WW-Absatz-Standardschriftart111111">
    <w:name w:val="WW-Absatz-Standardschriftart111111"/>
    <w:qFormat/>
    <w:rsid w:val="00D507B9"/>
  </w:style>
  <w:style w:type="character" w:customStyle="1" w:styleId="WW-Absatz-Standardschriftart1111111">
    <w:name w:val="WW-Absatz-Standardschriftart1111111"/>
    <w:qFormat/>
    <w:rsid w:val="00D507B9"/>
  </w:style>
  <w:style w:type="character" w:customStyle="1" w:styleId="WW-Absatz-Standardschriftart11111111">
    <w:name w:val="WW-Absatz-Standardschriftart11111111"/>
    <w:qFormat/>
    <w:rsid w:val="00D507B9"/>
  </w:style>
  <w:style w:type="character" w:customStyle="1" w:styleId="WW-Absatz-Standardschriftart111111111">
    <w:name w:val="WW-Absatz-Standardschriftart111111111"/>
    <w:qFormat/>
    <w:rsid w:val="00D507B9"/>
  </w:style>
  <w:style w:type="character" w:customStyle="1" w:styleId="WW-Absatz-Standardschriftart1111111111">
    <w:name w:val="WW-Absatz-Standardschriftart1111111111"/>
    <w:qFormat/>
    <w:rsid w:val="00D507B9"/>
  </w:style>
  <w:style w:type="character" w:customStyle="1" w:styleId="WW-Absatz-Standardschriftart11111111111">
    <w:name w:val="WW-Absatz-Standardschriftart11111111111"/>
    <w:qFormat/>
    <w:rsid w:val="00D507B9"/>
  </w:style>
  <w:style w:type="character" w:customStyle="1" w:styleId="WW-Absatz-Standardschriftart111111111111">
    <w:name w:val="WW-Absatz-Standardschriftart111111111111"/>
    <w:qFormat/>
    <w:rsid w:val="00D507B9"/>
  </w:style>
  <w:style w:type="character" w:customStyle="1" w:styleId="WW-Absatz-Standardschriftart1111111111111">
    <w:name w:val="WW-Absatz-Standardschriftart1111111111111"/>
    <w:qFormat/>
    <w:rsid w:val="00D507B9"/>
  </w:style>
  <w:style w:type="character" w:customStyle="1" w:styleId="WW-Absatz-Standardschriftart11111111111111">
    <w:name w:val="WW-Absatz-Standardschriftart11111111111111"/>
    <w:qFormat/>
    <w:rsid w:val="00D507B9"/>
  </w:style>
  <w:style w:type="character" w:customStyle="1" w:styleId="WW-Absatz-Standardschriftart111111111111111">
    <w:name w:val="WW-Absatz-Standardschriftart111111111111111"/>
    <w:qFormat/>
    <w:rsid w:val="00D507B9"/>
  </w:style>
  <w:style w:type="character" w:customStyle="1" w:styleId="WW-Absatz-Standardschriftart1111111111111111">
    <w:name w:val="WW-Absatz-Standardschriftart1111111111111111"/>
    <w:qFormat/>
    <w:rsid w:val="00D507B9"/>
  </w:style>
  <w:style w:type="character" w:customStyle="1" w:styleId="WW-Absatz-Standardschriftart11111111111111111">
    <w:name w:val="WW-Absatz-Standardschriftart11111111111111111"/>
    <w:qFormat/>
    <w:rsid w:val="00D507B9"/>
  </w:style>
  <w:style w:type="character" w:customStyle="1" w:styleId="WW-Absatz-Standardschriftart111111111111111111">
    <w:name w:val="WW-Absatz-Standardschriftart111111111111111111"/>
    <w:qFormat/>
    <w:rsid w:val="00D507B9"/>
  </w:style>
  <w:style w:type="character" w:customStyle="1" w:styleId="WW-Absatz-Standardschriftart1111111111111111111">
    <w:name w:val="WW-Absatz-Standardschriftart1111111111111111111"/>
    <w:qFormat/>
    <w:rsid w:val="00D507B9"/>
  </w:style>
  <w:style w:type="character" w:customStyle="1" w:styleId="WW-Absatz-Standardschriftart11111111111111111111">
    <w:name w:val="WW-Absatz-Standardschriftart11111111111111111111"/>
    <w:qFormat/>
    <w:rsid w:val="00D507B9"/>
  </w:style>
  <w:style w:type="character" w:customStyle="1" w:styleId="WW-Absatz-Standardschriftart111111111111111111111">
    <w:name w:val="WW-Absatz-Standardschriftart111111111111111111111"/>
    <w:qFormat/>
    <w:rsid w:val="00D507B9"/>
  </w:style>
  <w:style w:type="character" w:customStyle="1" w:styleId="WW-Absatz-Standardschriftart1111111111111111111111">
    <w:name w:val="WW-Absatz-Standardschriftart1111111111111111111111"/>
    <w:qFormat/>
    <w:rsid w:val="00D507B9"/>
  </w:style>
  <w:style w:type="character" w:customStyle="1" w:styleId="WW-Absatz-Standardschriftart11111111111111111111111">
    <w:name w:val="WW-Absatz-Standardschriftart11111111111111111111111"/>
    <w:qFormat/>
    <w:rsid w:val="00D507B9"/>
  </w:style>
  <w:style w:type="character" w:customStyle="1" w:styleId="WW-Absatz-Standardschriftart111111111111111111111111">
    <w:name w:val="WW-Absatz-Standardschriftart111111111111111111111111"/>
    <w:qFormat/>
    <w:rsid w:val="00D507B9"/>
  </w:style>
  <w:style w:type="character" w:customStyle="1" w:styleId="WW-Absatz-Standardschriftart1111111111111111111111111">
    <w:name w:val="WW-Absatz-Standardschriftart1111111111111111111111111"/>
    <w:qFormat/>
    <w:rsid w:val="00D507B9"/>
  </w:style>
  <w:style w:type="character" w:customStyle="1" w:styleId="WW-Absatz-Standardschriftart11111111111111111111111111">
    <w:name w:val="WW-Absatz-Standardschriftart11111111111111111111111111"/>
    <w:qFormat/>
    <w:rsid w:val="00D507B9"/>
  </w:style>
  <w:style w:type="character" w:customStyle="1" w:styleId="WW-Absatz-Standardschriftart111111111111111111111111111">
    <w:name w:val="WW-Absatz-Standardschriftart111111111111111111111111111"/>
    <w:qFormat/>
    <w:rsid w:val="00D507B9"/>
  </w:style>
  <w:style w:type="character" w:customStyle="1" w:styleId="WW-Absatz-Standardschriftart1111111111111111111111111111">
    <w:name w:val="WW-Absatz-Standardschriftart1111111111111111111111111111"/>
    <w:qFormat/>
    <w:rsid w:val="00D507B9"/>
  </w:style>
  <w:style w:type="character" w:customStyle="1" w:styleId="WW-Absatz-Standardschriftart11111111111111111111111111111">
    <w:name w:val="WW-Absatz-Standardschriftart11111111111111111111111111111"/>
    <w:qFormat/>
    <w:rsid w:val="00D507B9"/>
  </w:style>
  <w:style w:type="character" w:customStyle="1" w:styleId="WW-Absatz-Standardschriftart111111111111111111111111111111">
    <w:name w:val="WW-Absatz-Standardschriftart111111111111111111111111111111"/>
    <w:qFormat/>
    <w:rsid w:val="00D507B9"/>
  </w:style>
  <w:style w:type="character" w:customStyle="1" w:styleId="WW-Absatz-Standardschriftart1111111111111111111111111111111">
    <w:name w:val="WW-Absatz-Standardschriftart1111111111111111111111111111111"/>
    <w:qFormat/>
    <w:rsid w:val="00D507B9"/>
  </w:style>
  <w:style w:type="character" w:customStyle="1" w:styleId="WW-Absatz-Standardschriftart11111111111111111111111111111111">
    <w:name w:val="WW-Absatz-Standardschriftart11111111111111111111111111111111"/>
    <w:qFormat/>
    <w:rsid w:val="00D507B9"/>
  </w:style>
  <w:style w:type="character" w:customStyle="1" w:styleId="WW-Absatz-Standardschriftart111111111111111111111111111111111">
    <w:name w:val="WW-Absatz-Standardschriftart111111111111111111111111111111111"/>
    <w:qFormat/>
    <w:rsid w:val="00D507B9"/>
  </w:style>
  <w:style w:type="character" w:customStyle="1" w:styleId="WW-Absatz-Standardschriftart1111111111111111111111111111111111">
    <w:name w:val="WW-Absatz-Standardschriftart1111111111111111111111111111111111"/>
    <w:qFormat/>
    <w:rsid w:val="00D507B9"/>
  </w:style>
  <w:style w:type="character" w:customStyle="1" w:styleId="WW-Absatz-Standardschriftart11111111111111111111111111111111111">
    <w:name w:val="WW-Absatz-Standardschriftart11111111111111111111111111111111111"/>
    <w:qFormat/>
    <w:rsid w:val="00D507B9"/>
  </w:style>
  <w:style w:type="character" w:customStyle="1" w:styleId="WW-Absatz-Standardschriftart111111111111111111111111111111111111">
    <w:name w:val="WW-Absatz-Standardschriftart111111111111111111111111111111111111"/>
    <w:qFormat/>
    <w:rsid w:val="00D507B9"/>
  </w:style>
  <w:style w:type="character" w:customStyle="1" w:styleId="WW-Absatz-Standardschriftart1111111111111111111111111111111111111">
    <w:name w:val="WW-Absatz-Standardschriftart1111111111111111111111111111111111111"/>
    <w:qFormat/>
    <w:rsid w:val="00D507B9"/>
  </w:style>
  <w:style w:type="character" w:customStyle="1" w:styleId="WW-Absatz-Standardschriftart11111111111111111111111111111111111111">
    <w:name w:val="WW-Absatz-Standardschriftart11111111111111111111111111111111111111"/>
    <w:qFormat/>
    <w:rsid w:val="00D507B9"/>
  </w:style>
  <w:style w:type="character" w:customStyle="1" w:styleId="WW-Absatz-Standardschriftart111111111111111111111111111111111111111">
    <w:name w:val="WW-Absatz-Standardschriftart111111111111111111111111111111111111111"/>
    <w:qFormat/>
    <w:rsid w:val="00D507B9"/>
  </w:style>
  <w:style w:type="character" w:customStyle="1" w:styleId="WW-Absatz-Standardschriftart1111111111111111111111111111111111111111">
    <w:name w:val="WW-Absatz-Standardschriftart1111111111111111111111111111111111111111"/>
    <w:qFormat/>
    <w:rsid w:val="00D507B9"/>
  </w:style>
  <w:style w:type="character" w:customStyle="1" w:styleId="WW-Absatz-Standardschriftart11111111111111111111111111111111111111111">
    <w:name w:val="WW-Absatz-Standardschriftart11111111111111111111111111111111111111111"/>
    <w:qFormat/>
    <w:rsid w:val="00D507B9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507B9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507B9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507B9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507B9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507B9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507B9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507B9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507B9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507B9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507B9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507B9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507B9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507B9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507B9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507B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507B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507B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507B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507B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507B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507B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507B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D507B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D507B9"/>
  </w:style>
  <w:style w:type="character" w:customStyle="1" w:styleId="WW8Num5z0">
    <w:name w:val="WW8Num5z0"/>
    <w:qFormat/>
    <w:rsid w:val="00D507B9"/>
    <w:rPr>
      <w:rFonts w:ascii="Symbol" w:hAnsi="Symbol" w:cs="Symbol"/>
    </w:rPr>
  </w:style>
  <w:style w:type="character" w:customStyle="1" w:styleId="Domylnaczcionkaakapitu1">
    <w:name w:val="Domyślna czcionka akapitu1"/>
    <w:qFormat/>
    <w:rsid w:val="00D507B9"/>
  </w:style>
  <w:style w:type="character" w:customStyle="1" w:styleId="Symbolewypunktowania">
    <w:name w:val="Symbole wypunktowania"/>
    <w:qFormat/>
    <w:rsid w:val="00D507B9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Znakinumeracji">
    <w:name w:val="Znaki numeracji"/>
    <w:qFormat/>
    <w:rsid w:val="00D507B9"/>
  </w:style>
  <w:style w:type="character" w:customStyle="1" w:styleId="WW8Num6z0">
    <w:name w:val="WW8Num6z0"/>
    <w:qFormat/>
    <w:rsid w:val="00D507B9"/>
    <w:rPr>
      <w:rFonts w:ascii="Times New Roman" w:hAnsi="Times New Roman" w:cs="Times New Roman"/>
      <w:b w:val="0"/>
    </w:rPr>
  </w:style>
  <w:style w:type="paragraph" w:styleId="Nagwek">
    <w:name w:val="header"/>
    <w:basedOn w:val="Normalny"/>
    <w:next w:val="Podtytu"/>
    <w:qFormat/>
    <w:rsid w:val="00D507B9"/>
    <w:pPr>
      <w:jc w:val="center"/>
    </w:pPr>
    <w:rPr>
      <w:b/>
      <w:sz w:val="28"/>
    </w:rPr>
  </w:style>
  <w:style w:type="paragraph" w:styleId="Tekstpodstawowy">
    <w:name w:val="Body Text"/>
    <w:basedOn w:val="Normalny"/>
    <w:rsid w:val="00D507B9"/>
    <w:pPr>
      <w:spacing w:after="120"/>
    </w:pPr>
  </w:style>
  <w:style w:type="paragraph" w:styleId="Lista">
    <w:name w:val="List"/>
    <w:basedOn w:val="Tekstpodstawowy"/>
    <w:rsid w:val="00D507B9"/>
    <w:rPr>
      <w:rFonts w:cs="Tahoma"/>
    </w:rPr>
  </w:style>
  <w:style w:type="paragraph" w:customStyle="1" w:styleId="Caption">
    <w:name w:val="Caption"/>
    <w:basedOn w:val="Normalny"/>
    <w:qFormat/>
    <w:rsid w:val="00D507B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507B9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rsid w:val="00D507B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rsid w:val="00D507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odtytu">
    <w:name w:val="Subtitle"/>
    <w:basedOn w:val="Nagwek1"/>
    <w:next w:val="Tekstpodstawowy"/>
    <w:qFormat/>
    <w:rsid w:val="00D507B9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qFormat/>
    <w:rsid w:val="00D507B9"/>
    <w:pPr>
      <w:suppressLineNumbers/>
    </w:pPr>
  </w:style>
  <w:style w:type="paragraph" w:customStyle="1" w:styleId="Nagwektabeli">
    <w:name w:val="Nagłówek tabeli"/>
    <w:basedOn w:val="Zawartotabeli"/>
    <w:qFormat/>
    <w:rsid w:val="00D507B9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D507B9"/>
    <w:pPr>
      <w:jc w:val="both"/>
    </w:pPr>
    <w:rPr>
      <w:rFonts w:ascii="Tahoma" w:eastAsia="Tahoma" w:hAnsi="Tahoma" w:cs="Tahoma"/>
      <w:b/>
      <w:sz w:val="24"/>
    </w:rPr>
  </w:style>
  <w:style w:type="paragraph" w:styleId="Akapitzlist">
    <w:name w:val="List Paragraph"/>
    <w:basedOn w:val="Normalny"/>
    <w:qFormat/>
    <w:rsid w:val="00D507B9"/>
    <w:pPr>
      <w:ind w:left="720"/>
    </w:pPr>
  </w:style>
  <w:style w:type="paragraph" w:customStyle="1" w:styleId="Gwkaistopka">
    <w:name w:val="Główka i stopka"/>
    <w:basedOn w:val="Normalny"/>
    <w:qFormat/>
    <w:rsid w:val="00D507B9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Normalny"/>
    <w:rsid w:val="00D507B9"/>
    <w:pPr>
      <w:suppressLineNumbers/>
      <w:tabs>
        <w:tab w:val="center" w:pos="4536"/>
        <w:tab w:val="right" w:pos="9072"/>
      </w:tabs>
    </w:pPr>
  </w:style>
  <w:style w:type="paragraph" w:customStyle="1" w:styleId="Header">
    <w:name w:val="Header"/>
    <w:basedOn w:val="Normalny"/>
    <w:rsid w:val="00D507B9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  <w:rsid w:val="00D507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1508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Zamość 2000-05-26</dc:title>
  <dc:creator>Bajus</dc:creator>
  <cp:lastModifiedBy>Szpital</cp:lastModifiedBy>
  <cp:revision>3</cp:revision>
  <cp:lastPrinted>2020-03-10T12:57:00Z</cp:lastPrinted>
  <dcterms:created xsi:type="dcterms:W3CDTF">2020-03-10T12:56:00Z</dcterms:created>
  <dcterms:modified xsi:type="dcterms:W3CDTF">2020-03-10T12:59:00Z</dcterms:modified>
  <dc:language>pl-PL</dc:language>
</cp:coreProperties>
</file>