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DZP 3320.78.20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OPIS PRZEDMIOTU ZAMÓWIENIA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         </w:t>
      </w:r>
      <w:r>
        <w:rPr>
          <w:b/>
          <w:bCs/>
        </w:rPr>
        <w:t xml:space="preserve">Aparat rtg z ramieniem C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Style w:val="TableNormal"/>
        <w:tblW w:w="14550" w:type="dxa"/>
        <w:jc w:val="left"/>
        <w:tblInd w:w="390" w:type="dxa"/>
        <w:shd w:fill="CED7E7" w:val="clear"/>
        <w:tblCellMar>
          <w:top w:w="80" w:type="dxa"/>
          <w:left w:w="80" w:type="dxa"/>
          <w:bottom w:w="80" w:type="dxa"/>
          <w:right w:w="80" w:type="dxa"/>
        </w:tblCellMar>
        <w:tblLook w:val="04a0"/>
      </w:tblPr>
      <w:tblGrid>
        <w:gridCol w:w="795"/>
        <w:gridCol w:w="6480"/>
        <w:gridCol w:w="1395"/>
        <w:gridCol w:w="5880"/>
      </w:tblGrid>
      <w:tr>
        <w:trPr>
          <w:trHeight w:val="60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</w:rPr>
              <w:t>Lp.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Parametry wymagane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Wymaganie graniczne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Parametry oferowane</w:t>
            </w:r>
          </w:p>
        </w:tc>
      </w:tr>
      <w:tr>
        <w:trPr>
          <w:trHeight w:val="88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Urządzenie fabrycznie nowe, nieużywane do prezentacji, rok produkcji 2020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Producent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Model/typ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Kraj pochodzenia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Aparat przewoźny z ramieniem C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Głębokość ramienia C (odległość między osią wiązki a wewnętrzną powierzchnią ramienia C)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67 cm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Ramię C zbalansowane w każdej pozycji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7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Odległość SID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105 cm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6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Zakres ruchu wzdłużnego ramienia C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20 cm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Zakres ruchu pionowego ramienia C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40 cm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9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Ruch pionowy zmotoryzowany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Zakres ruchu orbitalnego ramienia C (pełny ruch LAO/RAO) wokół osi poprzecznej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145°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Zakres obrotu ramienia C (ruch CRAN/CAUD) wokół osi wzdłużnej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±225°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Zakres obrotu ramienia C wokół osi pionowej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≥  </w:t>
            </w:r>
            <w:r>
              <w:rPr>
                <w:sz w:val="20"/>
                <w:szCs w:val="20"/>
              </w:rPr>
              <w:t>±10°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Prześwit ramienia C (odległość między detektorem obrazu a lampą RTG)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80 cm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pacing w:val="-1"/>
                <w:sz w:val="20"/>
                <w:szCs w:val="20"/>
              </w:rPr>
              <w:t xml:space="preserve">Urządzenie zabezpieczające przed najeżdżaniem na leżące </w:t>
            </w:r>
            <w:r>
              <w:rPr>
                <w:sz w:val="20"/>
                <w:szCs w:val="20"/>
              </w:rPr>
              <w:t>przewody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Uchwyt przy detektorze do ręcznego manipulowania ramieniem C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Blokada kół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Ręczny włącznik promieniowania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Przycisk bezpieczeństwa wyłączający natychmiast co najmniej promieniowanie oraz ruchy aparatu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Sygnalizacja włączonego promieniowania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Hamulce wszystkich ruchów manualne i/lub elektromagnetyczne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pacing w:val="-1"/>
                <w:sz w:val="20"/>
                <w:szCs w:val="20"/>
              </w:rPr>
              <w:t>Aretaż kół w pozycji równoległej do stołu operacyjnego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0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pacing w:val="-1"/>
                <w:sz w:val="20"/>
                <w:szCs w:val="20"/>
              </w:rPr>
              <w:t>Monitor dotykowy - interface użytkownika, do sterowania funkcjami obrazu oraz generatora zamontowany na wózku z ramieniem C, z możliwością obracania monitora. Podgląd obrazu z  funkcją dotykowego sterowania obrotem oraz kontrastem i jasnością obrazu. Podgląd  kolimatorów bez użycia promieniowania, repozycja kolimatorów.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0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highlight w:val="yellow"/>
              </w:rPr>
            </w:pPr>
            <w:r>
              <w:rPr>
                <w:spacing w:val="-1"/>
                <w:sz w:val="20"/>
                <w:szCs w:val="20"/>
              </w:rPr>
              <w:t>Monitor dotykowy - interface użytkownika, do sterowania funkcjami obrazu oraz generatora zamontowany na wózku stacji monitorowej. Podgląd obrazu z  funkcją dotykowego sterowania obrotem oraz kontrastem i jasnością obrazu. Podgląd  kolimatorów bez użycia promieniowania, repozycja kolimatorów.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0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highlight w:val="yellow"/>
              </w:rPr>
            </w:pPr>
            <w:r>
              <w:rPr>
                <w:spacing w:val="-1"/>
                <w:sz w:val="20"/>
                <w:szCs w:val="20"/>
              </w:rPr>
              <w:t>Monitor dotykowy - interface użytkownika, do sterowania funkcjami obrazu oraz generatora zamontowany na szynie stołu. Podgląd obrazu z  funkcją dotykowego sterowania obrotem oraz kontrastem i jasnością obrazu. Podgląd  kolimatorów bez użycia promieniowania, repozycja kolimatorów.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Lampa rentgenowska, kolimatory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Lampa z wirującą anodą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Lampa 2-ogniskowa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Wielkość ogniska małego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≤ </w:t>
            </w:r>
            <w:r>
              <w:rPr>
                <w:sz w:val="20"/>
                <w:szCs w:val="20"/>
              </w:rPr>
              <w:t>0.3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Wielkość ogniska dużego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≤ </w:t>
            </w:r>
            <w:r>
              <w:rPr>
                <w:sz w:val="20"/>
                <w:szCs w:val="20"/>
              </w:rPr>
              <w:t>0.6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Całkowita filtracja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≥ </w:t>
            </w:r>
            <w:r>
              <w:rPr>
                <w:spacing w:val="-7"/>
                <w:sz w:val="20"/>
                <w:szCs w:val="20"/>
              </w:rPr>
              <w:t>3 mmAl</w:t>
            </w:r>
          </w:p>
          <w:p>
            <w:pPr>
              <w:pStyle w:val="Normal"/>
              <w:jc w:val="center"/>
              <w:rPr/>
            </w:pPr>
            <w:r>
              <w:rPr>
                <w:spacing w:val="-7"/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Kolimator szczelinowy z rotacją, blendy działające niezależnie od siebie z możliwością domykania w różnym stopniu każdej z nich z osobna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Kolimator typu Irys lub prostokątny koncentryczny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6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Ustawienie kolimatora z podglądem bez użycia dodatkowego promieniowania (na </w:t>
            </w:r>
            <w:r>
              <w:rPr>
                <w:spacing w:val="-1"/>
                <w:sz w:val="20"/>
                <w:szCs w:val="20"/>
              </w:rPr>
              <w:t xml:space="preserve">obrazie zamrożonym z wyświetlaniem aktualnego położenia </w:t>
            </w:r>
            <w:r>
              <w:rPr>
                <w:sz w:val="20"/>
                <w:szCs w:val="20"/>
              </w:rPr>
              <w:t>krawędzi przesłon)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Pojemność cieplna anody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pacing w:val="-7"/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350 kHU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Pojemność cieplna </w:t>
            </w:r>
            <w:r>
              <w:rPr>
                <w:rStyle w:val="FontStyle58"/>
                <w:sz w:val="20"/>
                <w:szCs w:val="20"/>
              </w:rPr>
              <w:t>zespołu lampy/kołpaka lampy (w zależności od terminologii producenta)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>
              <w:rPr>
                <w:spacing w:val="-5"/>
                <w:sz w:val="20"/>
                <w:szCs w:val="20"/>
              </w:rPr>
              <w:t>5300 kHU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Podać</w:t>
            </w:r>
          </w:p>
          <w:p>
            <w:pPr>
              <w:pStyle w:val="Normal"/>
              <w:ind w:left="-84" w:hanging="0"/>
              <w:jc w:val="center"/>
              <w:rPr/>
            </w:pPr>
            <w:r>
              <w:rPr>
                <w:sz w:val="20"/>
                <w:szCs w:val="20"/>
              </w:rPr>
              <w:t>Wartość największa - 10 pkt, wartość minimalna - 0 pkt, reszta - proporcjonalnie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Szybkość chłodzenia anody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75 kHU/min</w:t>
            </w:r>
          </w:p>
          <w:p>
            <w:pPr>
              <w:pStyle w:val="Normal"/>
              <w:jc w:val="center"/>
              <w:rPr/>
            </w:pPr>
            <w:r>
              <w:rPr>
                <w:spacing w:val="-5"/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6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System zabezpieczający lampę przed przegrzaniem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Dodatkowy układ chłodzenia cieczą, oprócz chłodzenia olejem anody w układzie zamkniętym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Generator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Zasilanie 230V+/-10%, 50 Hz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Generator wysokiej częstotliwości, impulsowy, wbudowany w urządzenie zapewniający łatwy transport aparatu pomiędzy salami, typ: monoblok (nie dopuszcza się urządzeń z generatorem stojącym osobno poza ramieniem C)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Maksymalna częstotliwość generatora dla wszystkich trybów pracy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40 kHz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6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Zakres częstotliwości impulsów generatora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1- 25 pulsów/s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Moc generatora RTG (dla 100kV) i maksymalnego prądu, zgodnie  z obowiązującą normą IEC 60601-2-54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25 kW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Automatyczny dobór parametrów fluoroskopii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Radiografia cyfrowa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Zakres wysokiego napięcie w trybie fluoroskopii/radiografii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40 – 120 kV</w:t>
            </w:r>
          </w:p>
          <w:p>
            <w:pPr>
              <w:pStyle w:val="Normal"/>
              <w:jc w:val="center"/>
              <w:rPr/>
            </w:pPr>
            <w:r>
              <w:rPr>
                <w:spacing w:val="-3"/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prąd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dla fluoroskopii pulsacyjnej  z płynną regulacją w całym zakresie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  <w:lang w:val="de-DE"/>
              </w:rPr>
              <w:t>3 - 250 mA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Prąd dla trybu radiografii cyfrowej z płynną regulacją w całym zakresie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  <w:lang w:val="de-DE"/>
              </w:rPr>
              <w:t>3 - 250 mA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Odwracanie obrazu góra/dół i prawo/lewo dla obrazowania w trybie Live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Automatyczny dobór poziomu dawki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Redukcja poziomu dawki promieniowania w trybie fluoroskopii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50%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 xml:space="preserve">Płaski detektorcyfrowy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4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Wymiary fizyczne detektora cyfrowego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30cm x 30cm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7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Rzeczywiste wymiary pola obrazowania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29cm x 29cm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Wielkość piksela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≤ </w:t>
            </w:r>
            <w:r>
              <w:rPr>
                <w:sz w:val="20"/>
                <w:szCs w:val="20"/>
              </w:rPr>
              <w:t>195µm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Skala szarości detektora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14 bit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Kratka przeciwrozproszeniowa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70 linii/cm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Kształt pola obrazowania na monitorach zgodny z kształtem detektora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4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Detektor w technologii CMOS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3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Matryca detektora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≥ </w:t>
            </w:r>
            <w:r>
              <w:rPr>
                <w:color w:val="auto"/>
                <w:sz w:val="20"/>
                <w:szCs w:val="20"/>
              </w:rPr>
              <w:t>1950 x 1950 pikseli</w:t>
            </w:r>
          </w:p>
          <w:p>
            <w:pPr>
              <w:pStyle w:val="Normal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Podać</w:t>
            </w:r>
          </w:p>
          <w:p>
            <w:pPr>
              <w:pStyle w:val="Normal"/>
              <w:ind w:left="-84" w:hanging="0"/>
              <w:jc w:val="center"/>
              <w:rPr>
                <w:color w:val="auto"/>
              </w:rPr>
            </w:pPr>
            <w:r>
              <w:rPr>
                <w:sz w:val="20"/>
                <w:szCs w:val="20"/>
              </w:rPr>
              <w:t xml:space="preserve">Wartość największa - 20 pkt, wartość minimalna - </w:t>
              <w:br/>
              <w:t>0 pkt, reszta - proporcjonalnie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Ilość pól obrazowania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 3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Wartość dynamiki detektora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  <w:lang w:val="en-US"/>
              </w:rPr>
              <w:t>83dB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Celownik laserowy zintegrowany fabrycznie w obudowie detektora obrazu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Cyfrowy system obróbki obrazu, pamięć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Ilość obrazów w pamięci dla matrycy 1024x1024 pikseli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100 000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Funkcja „Last Image Hold”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Nagrywanie i odtwarzanie nagranych sekwencji skopii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Wyświetlanie sekwencji fluoroskopowychz funkcjonalnością min. start, stop, regulacja szybkości odtwarzania, możliwość przewijania po 1 klatce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Częstotliwość cyfrowego zapisu na dysku twardym obrazów fluoroskopii pulsacyjnej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≥ </w:t>
            </w:r>
            <w:r>
              <w:rPr>
                <w:spacing w:val="-5"/>
                <w:sz w:val="20"/>
                <w:szCs w:val="20"/>
              </w:rPr>
              <w:t>25 obr/sek</w:t>
            </w:r>
          </w:p>
          <w:p>
            <w:pPr>
              <w:pStyle w:val="Normal"/>
              <w:jc w:val="center"/>
              <w:rPr/>
            </w:pPr>
            <w:r>
              <w:rPr>
                <w:spacing w:val="-5"/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Jednoczesne wyświetlanie mozaiki obrazów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≥ </w:t>
            </w:r>
            <w:r>
              <w:rPr>
                <w:spacing w:val="-5"/>
                <w:sz w:val="20"/>
                <w:szCs w:val="20"/>
              </w:rPr>
              <w:t>16 obrazów</w:t>
            </w:r>
          </w:p>
          <w:p>
            <w:pPr>
              <w:pStyle w:val="Normal"/>
              <w:jc w:val="center"/>
              <w:rPr/>
            </w:pPr>
            <w:r>
              <w:rPr>
                <w:spacing w:val="-5"/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Obraz lustrzany góra/dół i prawo/lewo dla obrazu zapisanego (w postprocessingu oraz dla LIH)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Cyfrowy płynny obrót obrazu w pamięci aparatu bez ograniczeń kąta i kierunku obrotu bez konieczności użycia promieniowania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Wzmocnienie krawędzi i redukcja szumów w czasie rzeczywistym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Regulacja kontrastu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System nanoszenia opisów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System wpisywania danych pacjenta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System zarządzania bazą danych z badaniami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Funkcja generowania raportu dawki sumarycznej pacjenta z danej procedury lub dawki z podziałem na tryby pracy, powiększenia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Funkcja powiększenia obrazu (Zoom)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≥ </w:t>
            </w:r>
            <w:r>
              <w:rPr>
                <w:spacing w:val="-5"/>
                <w:sz w:val="20"/>
                <w:szCs w:val="20"/>
              </w:rPr>
              <w:t>4 poziomy</w:t>
            </w:r>
          </w:p>
          <w:p>
            <w:pPr>
              <w:pStyle w:val="Normal"/>
              <w:jc w:val="center"/>
              <w:rPr/>
            </w:pPr>
            <w:r>
              <w:rPr>
                <w:spacing w:val="-5"/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Funkcje pomiarowe (odległości i kąty)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Skala szarości w post-procesingu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14 bit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Funkcje naczyniowe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right w:w="114" w:type="dxa"/>
            </w:tcMar>
            <w:vAlign w:val="center"/>
          </w:tcPr>
          <w:p>
            <w:pPr>
              <w:pStyle w:val="Normal"/>
              <w:shd w:val="clear" w:color="auto" w:fill="FFFFFF"/>
              <w:suppressAutoHyphens w:val="true"/>
              <w:spacing w:lineRule="exact" w:line="206"/>
              <w:ind w:right="34" w:hanging="0"/>
              <w:rPr/>
            </w:pPr>
            <w:r>
              <w:rPr>
                <w:sz w:val="20"/>
                <w:szCs w:val="20"/>
              </w:rPr>
              <w:t>Cyfrowa angiografia substrakcyjna DSA , współpraca z kontrastem jodowym i CO2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≥ </w:t>
            </w:r>
            <w:r>
              <w:rPr>
                <w:spacing w:val="-5"/>
                <w:sz w:val="20"/>
                <w:szCs w:val="20"/>
              </w:rPr>
              <w:t>25 obr./s</w:t>
            </w:r>
          </w:p>
          <w:p>
            <w:pPr>
              <w:pStyle w:val="Normal"/>
              <w:jc w:val="center"/>
              <w:rPr/>
            </w:pPr>
            <w:r>
              <w:rPr>
                <w:spacing w:val="-5"/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right w:w="114" w:type="dxa"/>
            </w:tcMar>
            <w:vAlign w:val="center"/>
          </w:tcPr>
          <w:p>
            <w:pPr>
              <w:pStyle w:val="Normal"/>
              <w:shd w:val="clear" w:color="auto" w:fill="FFFFFF"/>
              <w:suppressAutoHyphens w:val="true"/>
              <w:spacing w:lineRule="exact" w:line="206"/>
              <w:ind w:right="34" w:hanging="0"/>
              <w:rPr/>
            </w:pPr>
            <w:r>
              <w:rPr>
                <w:sz w:val="20"/>
                <w:szCs w:val="20"/>
              </w:rPr>
              <w:t>Automatyczne wychwycenie zdjęć o największym zaczernieniu kontrastem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right w:w="114" w:type="dxa"/>
            </w:tcMar>
            <w:vAlign w:val="center"/>
          </w:tcPr>
          <w:p>
            <w:pPr>
              <w:pStyle w:val="Normal"/>
              <w:shd w:val="clear" w:color="auto" w:fill="FFFFFF"/>
              <w:suppressAutoHyphens w:val="true"/>
              <w:spacing w:lineRule="exact" w:line="206"/>
              <w:ind w:right="34" w:hanging="0"/>
              <w:rPr/>
            </w:pPr>
            <w:r>
              <w:rPr>
                <w:sz w:val="20"/>
                <w:szCs w:val="20"/>
              </w:rPr>
              <w:t xml:space="preserve">Roadmapping, wykonywany z jednej klatki lub </w:t>
            </w:r>
            <w:r>
              <w:rPr>
                <w:color w:val="auto"/>
                <w:sz w:val="20"/>
                <w:szCs w:val="20"/>
              </w:rPr>
              <w:t xml:space="preserve">obrazu z pełnym wypełnieniem kontrastu (np.: MaxOp)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Pixelshift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right w:w="114" w:type="dxa"/>
            </w:tcMar>
            <w:vAlign w:val="center"/>
          </w:tcPr>
          <w:p>
            <w:pPr>
              <w:pStyle w:val="Normal"/>
              <w:shd w:val="clear" w:color="auto" w:fill="FFFFFF"/>
              <w:suppressAutoHyphens w:val="true"/>
              <w:spacing w:lineRule="exact" w:line="206"/>
              <w:ind w:right="34" w:hanging="0"/>
              <w:rPr/>
            </w:pPr>
            <w:r>
              <w:rPr>
                <w:sz w:val="20"/>
                <w:szCs w:val="20"/>
              </w:rPr>
              <w:t>Landmarking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54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right w:w="114" w:type="dxa"/>
            </w:tcMar>
            <w:vAlign w:val="center"/>
          </w:tcPr>
          <w:p>
            <w:pPr>
              <w:pStyle w:val="Normal"/>
              <w:shd w:val="clear" w:color="auto" w:fill="FFFFFF"/>
              <w:suppressAutoHyphens w:val="true"/>
              <w:spacing w:lineRule="exact" w:line="206"/>
              <w:ind w:right="-158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Programy anatomiczne dedykowane badaniom naczyniowym (min. 2 programy)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Wyświetlanie obrazów bez subtrakcji na monitorze referencyjnym równolegle do obrazu DSA na monitorze obrazu na żywo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right w:w="114" w:type="dxa"/>
            </w:tcMar>
            <w:vAlign w:val="center"/>
          </w:tcPr>
          <w:p>
            <w:pPr>
              <w:pStyle w:val="Normal"/>
              <w:shd w:val="clear" w:color="auto" w:fill="FFFFFF"/>
              <w:suppressAutoHyphens w:val="true"/>
              <w:spacing w:lineRule="exact" w:line="206"/>
              <w:ind w:right="34" w:hanging="0"/>
              <w:rPr/>
            </w:pPr>
            <w:r>
              <w:rPr>
                <w:sz w:val="20"/>
                <w:szCs w:val="20"/>
              </w:rPr>
              <w:t>Możliwość całkowitego włączania i wyłączania maski w obrazie DSA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4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right w:w="114" w:type="dxa"/>
            </w:tcMar>
            <w:vAlign w:val="center"/>
          </w:tcPr>
          <w:p>
            <w:pPr>
              <w:pStyle w:val="Normal"/>
              <w:shd w:val="clear" w:color="auto" w:fill="FFFFFF"/>
              <w:suppressAutoHyphens w:val="true"/>
              <w:spacing w:lineRule="exact" w:line="206"/>
              <w:ind w:right="34" w:hanging="0"/>
              <w:rPr/>
            </w:pPr>
            <w:r>
              <w:rPr>
                <w:sz w:val="20"/>
                <w:szCs w:val="20"/>
              </w:rPr>
              <w:t xml:space="preserve">Możliwość tworzenia roadmapy z całego fragmentu sekwencji DSA bądź z dowolnego pojedynczego obrazu  sekwencji DSA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4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right w:w="114" w:type="dxa"/>
            </w:tcMar>
            <w:vAlign w:val="center"/>
          </w:tcPr>
          <w:p>
            <w:pPr>
              <w:pStyle w:val="Normal"/>
              <w:shd w:val="clear" w:color="auto" w:fill="FFFFFF"/>
              <w:suppressAutoHyphens w:val="true"/>
              <w:spacing w:lineRule="exact" w:line="206"/>
              <w:ind w:right="34" w:hanging="0"/>
              <w:rPr/>
            </w:pPr>
            <w:r>
              <w:rPr>
                <w:sz w:val="20"/>
                <w:szCs w:val="20"/>
              </w:rPr>
              <w:t>W trybie roadmapy jednoczesne śledzenie na monitorach obrazu z maską i obrazu fluoroskopowego.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0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440" w:type="dxa"/>
            </w:tcMar>
            <w:vAlign w:val="center"/>
          </w:tcPr>
          <w:p>
            <w:pPr>
              <w:pStyle w:val="Normal"/>
              <w:ind w:left="-308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Wózek z monitorami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Ilość monitorów  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Wszystkie oferowane monitory medyczne typu LCD TFT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Przekątna monitorów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19”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6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Rozdzielczość monitorów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1280 x 1024 pikseli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Luminacja monitorów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900 cd/m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Kontrast monitorów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 </w:t>
            </w:r>
            <w:r>
              <w:rPr>
                <w:sz w:val="20"/>
                <w:szCs w:val="20"/>
              </w:rPr>
              <w:t>900:1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Kąt widzenia pionowy i poziomy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170˚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Podać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Klawiatura do opisywania obrazów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Wskaźnik włączonego promieniowania na wózku z monitorami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98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Interface do strzykawki automatycznej do wyzwalania kontrastu, zintegrowany wewnątrz aparatu. Kompatybilność min. zewstrzykiwaczamiMedrad M5 Provis, M7 Arterion/CovidienIllumena.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(podać z jakimi strzykawkami współpracuje)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440" w:type="dxa"/>
            </w:tcMar>
            <w:vAlign w:val="center"/>
          </w:tcPr>
          <w:p>
            <w:pPr>
              <w:pStyle w:val="Normal"/>
              <w:ind w:left="-340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80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System rejestracji obrazów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-308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ind w:left="-308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System komunikacji w standardzie DICOM 3.0 co najmniej w zakresie: Storage, Storage Commitment (Receiver), MPPS, Worklist, Query/Retrive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Archiwizacja poprzez port USB z automatycznym dogrywaniem przeglądarki DICOM umożliwiającym odtwarzanie zdjęć na dowolnym komputerze PC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Nagrywanie obrazów w formacie min. TIFF</w:t>
            </w:r>
            <w:r>
              <w:rPr>
                <w:spacing w:val="-1"/>
                <w:sz w:val="20"/>
                <w:szCs w:val="20"/>
              </w:rPr>
              <w:t xml:space="preserve"> lub JPG,</w:t>
            </w:r>
            <w:r>
              <w:rPr>
                <w:sz w:val="20"/>
                <w:szCs w:val="20"/>
              </w:rPr>
              <w:t xml:space="preserve"> AVI  oraz DICOM 3.0 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poprzez port USB.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440" w:type="dxa"/>
            </w:tcMar>
            <w:vAlign w:val="center"/>
          </w:tcPr>
          <w:p>
            <w:pPr>
              <w:pStyle w:val="Normal"/>
              <w:ind w:left="-227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Wymagania dodatkowe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ind w:left="-308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108" w:type="dxa"/>
            </w:tcMar>
          </w:tcPr>
          <w:p>
            <w:pPr>
              <w:pStyle w:val="Normal"/>
              <w:ind w:left="-308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ind w:left="-308" w:hanging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734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hd w:val="clear" w:color="auto" w:fill="FFFFFF"/>
              <w:suppressAutoHyphens w:val="true"/>
              <w:spacing w:lineRule="exact" w:line="206"/>
              <w:ind w:right="34" w:hanging="0"/>
              <w:rPr/>
            </w:pPr>
            <w:r>
              <w:rPr>
                <w:sz w:val="20"/>
                <w:szCs w:val="20"/>
              </w:rPr>
              <w:t xml:space="preserve">Dawka wejściowa ESD - fantom PMMA 20cm - pomiar zgodnie z normą IEC60601-2-43:2010 podana w mGy/min w trybie niskiej dawki, bez powiększenia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Podać</w:t>
            </w:r>
          </w:p>
          <w:p>
            <w:pPr>
              <w:pStyle w:val="Normal"/>
              <w:ind w:right="-80" w:hanging="0"/>
              <w:jc w:val="center"/>
              <w:rPr/>
            </w:pPr>
            <w:r>
              <w:rPr>
                <w:sz w:val="20"/>
                <w:szCs w:val="20"/>
              </w:rPr>
              <w:t xml:space="preserve">Wartość najmniejsza - 10 pkt, wartość największa - </w:t>
              <w:br/>
              <w:t>0 pkt, reszta proporcjonalnie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8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Zintegrowany system monitorowania i wyświetlania dawki RTG wraz z funkcjonalnością generowania raportu dawki  oraz wysyłanie raportu w formacie DICOM. W raporcie podana wartość dawki i czasu sumaryczna oraz z podziałem na tryby pracy.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Dwa wyjścia  wysokiej rozdzielczości DVI do podłączenia dodatkowej pary monitorów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88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Bezprzewodowy przycisk nożny do wyzwalania fluoroskopii/akwizycji, zapisu zdjęć oraz zmiany trybów pracy (fluoro, DSA, Roadmap) min. 3 przyciskowy.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opisać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2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Podłączenie, uruchomienie oraz i</w:t>
            </w:r>
            <w:r>
              <w:rPr>
                <w:bCs/>
                <w:sz w:val="20"/>
                <w:szCs w:val="20"/>
              </w:rPr>
              <w:t xml:space="preserve">ntegracja oferowanego aparatu z posiadanym przez Zamawiającego systemem </w:t>
            </w:r>
            <w:r>
              <w:rPr>
                <w:sz w:val="20"/>
                <w:szCs w:val="20"/>
              </w:rPr>
              <w:t>PACS/RIS firmy Alteris</w:t>
            </w:r>
            <w:r>
              <w:rPr>
                <w:bCs/>
                <w:sz w:val="20"/>
                <w:szCs w:val="20"/>
              </w:rPr>
              <w:t>w zakresie min. pobierania listy pacjentów, pobierania z i wysyłania do archiwum PACS badań oraz przyjmowanie komunikatu potwierdzenia odebrania badania przez PACS), zgodnie ze standardem DICOM 3.0. Zamawiający posiada licencję.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11" w:hRule="atLeast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Wykonanie i dostarczenie Zamawiającemu wyników testów odbiorczych (akceptacyjnych) oraz testów specjalistycznych - przed pierwszym użyciem aparatu, a także wykonywanie testów specjalistycznych rtg 1 raz w roku przez cały okres udzielonej gwarancji oraz testów eksploatacyjnych po każdej istotnej naprawie.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jc w:val="center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ind w:left="709" w:hanging="0"/>
        <w:rPr/>
      </w:pPr>
      <w:r>
        <w:rPr/>
        <w:t xml:space="preserve">          </w:t>
      </w:r>
      <w:r>
        <w:rPr/>
        <w:t>Punktacja dla parametrów w punktach 31, 55 wg wzoru:</w:t>
      </w:r>
    </w:p>
    <w:p>
      <w:pPr>
        <w:pStyle w:val="Normal"/>
        <w:ind w:left="709" w:hanging="0"/>
        <w:rPr/>
      </w:pPr>
      <w:r>
        <w:rPr/>
      </w:r>
    </w:p>
    <w:p>
      <w:pPr>
        <w:pStyle w:val="Normal"/>
        <w:ind w:left="709" w:hanging="0"/>
        <w:rPr/>
      </w:pPr>
      <w:r>
        <w:rPr/>
        <w:t>LPK = P x (Wof - Wgr) / (Wmax - Wgr)</w:t>
      </w:r>
    </w:p>
    <w:p>
      <w:pPr>
        <w:pStyle w:val="Normal"/>
        <w:ind w:left="709" w:hanging="0"/>
        <w:rPr/>
      </w:pPr>
      <w:r>
        <w:rPr/>
      </w:r>
    </w:p>
    <w:p>
      <w:pPr>
        <w:pStyle w:val="Normal"/>
        <w:ind w:left="709" w:hanging="0"/>
        <w:rPr/>
      </w:pPr>
      <w:r>
        <w:rPr/>
        <w:t>LPK - liczba punktów za dany parametr</w:t>
      </w:r>
    </w:p>
    <w:p>
      <w:pPr>
        <w:pStyle w:val="Normal"/>
        <w:ind w:left="709" w:hanging="0"/>
        <w:rPr/>
      </w:pPr>
      <w:r>
        <w:rPr/>
        <w:t>P – waga punktowa parametru</w:t>
      </w:r>
    </w:p>
    <w:p>
      <w:pPr>
        <w:pStyle w:val="Normal"/>
        <w:ind w:left="709" w:hanging="0"/>
        <w:rPr/>
      </w:pPr>
      <w:r>
        <w:rPr/>
        <w:t>Wgr - wartość graniczna parametru:</w:t>
      </w:r>
    </w:p>
    <w:p>
      <w:pPr>
        <w:pStyle w:val="Normal"/>
        <w:ind w:left="709" w:hanging="0"/>
        <w:rPr>
          <w:spacing w:val="-5"/>
        </w:rPr>
      </w:pPr>
      <w:r>
        <w:rPr/>
        <w:tab/>
        <w:t xml:space="preserve">- dla punktu 31 - </w:t>
      </w:r>
      <w:r>
        <w:rPr>
          <w:spacing w:val="-5"/>
        </w:rPr>
        <w:t xml:space="preserve">5300 kHU, </w:t>
      </w:r>
    </w:p>
    <w:p>
      <w:pPr>
        <w:pStyle w:val="Normal"/>
        <w:ind w:left="709" w:hanging="0"/>
        <w:rPr/>
      </w:pPr>
      <w:r>
        <w:rPr>
          <w:spacing w:val="-5"/>
        </w:rPr>
        <w:tab/>
        <w:t xml:space="preserve">- </w:t>
      </w:r>
      <w:r>
        <w:rPr/>
        <w:t>dla punktu 55 – 1950 x 1950 pikseli (3 802 500 pikseli)</w:t>
      </w:r>
    </w:p>
    <w:p>
      <w:pPr>
        <w:pStyle w:val="Normal"/>
        <w:ind w:left="709" w:hanging="0"/>
        <w:rPr/>
      </w:pPr>
      <w:r>
        <w:rPr/>
        <w:t>Wof - wartość parametru oferowanego przez Wykonawcę</w:t>
      </w:r>
    </w:p>
    <w:p>
      <w:pPr>
        <w:pStyle w:val="Normal"/>
        <w:ind w:left="709" w:hanging="0"/>
        <w:rPr/>
      </w:pPr>
      <w:r>
        <w:rPr/>
        <w:t>Wmax - maksymalna zaoferowana wartość</w:t>
      </w:r>
    </w:p>
    <w:p>
      <w:pPr>
        <w:pStyle w:val="Normal"/>
        <w:ind w:left="709" w:hanging="0"/>
        <w:rPr/>
      </w:pPr>
      <w:r>
        <w:rPr/>
      </w:r>
    </w:p>
    <w:p>
      <w:pPr>
        <w:pStyle w:val="Normal"/>
        <w:ind w:left="709" w:hanging="0"/>
        <w:rPr/>
      </w:pPr>
      <w:r>
        <w:rPr/>
      </w:r>
    </w:p>
    <w:p>
      <w:pPr>
        <w:pStyle w:val="Normal"/>
        <w:ind w:left="709" w:firstLine="567"/>
        <w:rPr/>
      </w:pPr>
      <w:r>
        <w:rPr/>
        <w:t>Punktacja dla parametrów w punkcie 98 wg wzoru:</w:t>
      </w:r>
    </w:p>
    <w:p>
      <w:pPr>
        <w:pStyle w:val="Normal"/>
        <w:ind w:left="709" w:hanging="0"/>
        <w:rPr/>
      </w:pPr>
      <w:r>
        <w:rPr/>
      </w:r>
    </w:p>
    <w:p>
      <w:pPr>
        <w:pStyle w:val="Normal"/>
        <w:ind w:left="709" w:hanging="0"/>
        <w:rPr/>
      </w:pPr>
      <w:r>
        <w:rPr/>
        <w:t>LPK = P x (Wmax - Wof ) / (Wmax - Wmin)</w:t>
      </w:r>
    </w:p>
    <w:p>
      <w:pPr>
        <w:pStyle w:val="Normal"/>
        <w:ind w:left="709" w:hanging="0"/>
        <w:rPr/>
      </w:pPr>
      <w:r>
        <w:rPr/>
      </w:r>
    </w:p>
    <w:p>
      <w:pPr>
        <w:pStyle w:val="Normal"/>
        <w:ind w:left="709" w:hanging="0"/>
        <w:rPr/>
      </w:pPr>
      <w:r>
        <w:rPr/>
        <w:t>LPK - liczba punktów za dany parametr</w:t>
      </w:r>
    </w:p>
    <w:p>
      <w:pPr>
        <w:pStyle w:val="Normal"/>
        <w:ind w:left="709" w:hanging="0"/>
        <w:rPr/>
      </w:pPr>
      <w:r>
        <w:rPr/>
        <w:t>P – waga punktowa parametru</w:t>
      </w:r>
    </w:p>
    <w:p>
      <w:pPr>
        <w:pStyle w:val="Normal"/>
        <w:ind w:left="709" w:hanging="0"/>
        <w:rPr/>
      </w:pPr>
      <w:r>
        <w:rPr/>
        <w:t>Wof - wartość parametru oferowanego przez Wykonawcę</w:t>
      </w:r>
    </w:p>
    <w:p>
      <w:pPr>
        <w:pStyle w:val="Normal"/>
        <w:ind w:left="709" w:hanging="0"/>
        <w:rPr/>
      </w:pPr>
      <w:r>
        <w:rPr/>
        <w:t>Wmin - minimalna zaoferowana wartość</w:t>
      </w:r>
    </w:p>
    <w:p>
      <w:pPr>
        <w:pStyle w:val="Normal"/>
        <w:ind w:left="709" w:hanging="0"/>
        <w:rPr/>
      </w:pPr>
      <w:r>
        <w:rPr/>
        <w:t>Wmax - maksymalna zaoferowana wartość</w:t>
      </w:r>
    </w:p>
    <w:p>
      <w:pPr>
        <w:pStyle w:val="Normal"/>
        <w:ind w:left="709" w:hanging="0"/>
        <w:rPr/>
      </w:pPr>
      <w:r>
        <w:rPr/>
      </w:r>
    </w:p>
    <w:p>
      <w:pPr>
        <w:pStyle w:val="Normal"/>
        <w:ind w:left="709" w:hanging="0"/>
        <w:rPr/>
      </w:pPr>
      <w:r>
        <w:rPr/>
      </w:r>
    </w:p>
    <w:p>
      <w:pPr>
        <w:pStyle w:val="Normal"/>
        <w:ind w:left="709" w:hanging="0"/>
        <w:rPr/>
      </w:pPr>
      <w:r>
        <w:rPr/>
        <w:t>Maksymalna ilość punktów możliwych do uzyskania – 40 pkt.</w:t>
      </w:r>
    </w:p>
    <w:p>
      <w:pPr>
        <w:pStyle w:val="Normal"/>
        <w:widowControl w:val="false"/>
        <w:rPr/>
      </w:pPr>
      <w:r>
        <w:rPr/>
      </w:r>
    </w:p>
    <w:sectPr>
      <w:footerReference w:type="default" r:id="rId2"/>
      <w:type w:val="nextPage"/>
      <w:pgSz w:orient="landscape" w:w="16838" w:h="11906"/>
      <w:pgMar w:left="720" w:right="539" w:header="0" w:top="851" w:footer="709" w:bottom="99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 Neu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sz w:val="20"/>
        <w:b w:val="false"/>
        <w:szCs w:val="2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335e"/>
    <w:pPr>
      <w:widowControl/>
      <w:pBdr/>
      <w:bidi w:val="0"/>
      <w:jc w:val="left"/>
    </w:pPr>
    <w:rPr>
      <w:rFonts w:cs="Arial Unicode MS" w:ascii="Times New Roman" w:hAnsi="Times New Roman" w:eastAsia="Arial Unicode MS"/>
      <w:color w:val="000000"/>
      <w:kern w:val="0"/>
      <w:sz w:val="24"/>
      <w:szCs w:val="24"/>
      <w:u w:val="none" w:color="00000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sid w:val="00a4335e"/>
    <w:rPr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70391"/>
    <w:rPr>
      <w:rFonts w:ascii="Tahoma" w:hAnsi="Tahoma" w:cs="Tahoma"/>
      <w:color w:val="000000"/>
      <w:sz w:val="16"/>
      <w:szCs w:val="16"/>
      <w:u w:val="none" w:color="000000"/>
    </w:rPr>
  </w:style>
  <w:style w:type="character" w:styleId="FontStyle58" w:customStyle="1">
    <w:name w:val="Font Style58"/>
    <w:basedOn w:val="DefaultParagraphFont"/>
    <w:qFormat/>
    <w:rsid w:val="00f47032"/>
    <w:rPr>
      <w:rFonts w:ascii="Times New Roman" w:hAnsi="Times New Roman" w:cs="Times New Roman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f509c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9f509c"/>
    <w:rPr>
      <w:rFonts w:cs="Arial Unicode MS"/>
      <w:color w:val="000000"/>
      <w:u w:val="none" w:color="00000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9f509c"/>
    <w:rPr>
      <w:rFonts w:cs="Arial Unicode MS"/>
      <w:b/>
      <w:bCs/>
      <w:color w:val="000000"/>
      <w:u w:val="none" w:color="000000"/>
    </w:rPr>
  </w:style>
  <w:style w:type="character" w:styleId="ListLabel1">
    <w:name w:val="ListLabel 1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kern w:val="0"/>
      <w:position w:val="0"/>
      <w:sz w:val="24"/>
      <w:vertAlign w:val="baseline"/>
    </w:rPr>
  </w:style>
  <w:style w:type="character" w:styleId="ListLabel2">
    <w:name w:val="ListLabel 2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kern w:val="0"/>
      <w:position w:val="0"/>
      <w:sz w:val="24"/>
      <w:vertAlign w:val="baseline"/>
    </w:rPr>
  </w:style>
  <w:style w:type="character" w:styleId="ListLabel3">
    <w:name w:val="ListLabel 3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kern w:val="0"/>
      <w:position w:val="0"/>
      <w:sz w:val="24"/>
      <w:vertAlign w:val="baseline"/>
    </w:rPr>
  </w:style>
  <w:style w:type="character" w:styleId="ListLabel4">
    <w:name w:val="ListLabel 4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kern w:val="0"/>
      <w:position w:val="0"/>
      <w:sz w:val="24"/>
      <w:vertAlign w:val="baseline"/>
    </w:rPr>
  </w:style>
  <w:style w:type="character" w:styleId="ListLabel5">
    <w:name w:val="ListLabel 5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kern w:val="0"/>
      <w:position w:val="0"/>
      <w:sz w:val="24"/>
      <w:vertAlign w:val="baseline"/>
    </w:rPr>
  </w:style>
  <w:style w:type="character" w:styleId="ListLabel6">
    <w:name w:val="ListLabel 6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kern w:val="0"/>
      <w:position w:val="0"/>
      <w:sz w:val="24"/>
      <w:vertAlign w:val="baseline"/>
    </w:rPr>
  </w:style>
  <w:style w:type="character" w:styleId="ListLabel7">
    <w:name w:val="ListLabel 7"/>
    <w:qFormat/>
    <w:rPr>
      <w:rFonts w:eastAsia="Symbol" w:cs="Symbol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kern w:val="0"/>
      <w:position w:val="0"/>
      <w:sz w:val="24"/>
      <w:vertAlign w:val="baseline"/>
    </w:rPr>
  </w:style>
  <w:style w:type="character" w:styleId="ListLabel8">
    <w:name w:val="ListLabel 8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kern w:val="0"/>
      <w:position w:val="0"/>
      <w:sz w:val="24"/>
      <w:vertAlign w:val="baseline"/>
    </w:rPr>
  </w:style>
  <w:style w:type="character" w:styleId="ListLabel9">
    <w:name w:val="ListLabel 9"/>
    <w:qFormat/>
    <w:rPr>
      <w:rFonts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kern w:val="0"/>
      <w:position w:val="0"/>
      <w:sz w:val="24"/>
      <w:vertAlign w:val="baseline"/>
    </w:rPr>
  </w:style>
  <w:style w:type="character" w:styleId="ListLabel10">
    <w:name w:val="ListLabel 10"/>
    <w:qFormat/>
    <w:rPr>
      <w:b w:val="false"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agwekistopka" w:customStyle="1">
    <w:name w:val="Nagłówek i stopka"/>
    <w:qFormat/>
    <w:rsid w:val="00a4335e"/>
    <w:pPr>
      <w:widowControl/>
      <w:pBdr/>
      <w:tabs>
        <w:tab w:val="clear" w:pos="708"/>
        <w:tab w:val="right" w:pos="9020" w:leader="none"/>
      </w:tabs>
      <w:bidi w:val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pl-PL" w:eastAsia="pl-PL" w:bidi="ar-SA"/>
    </w:rPr>
  </w:style>
  <w:style w:type="paragraph" w:styleId="Stopka">
    <w:name w:val="Footer"/>
    <w:rsid w:val="00a4335e"/>
    <w:pPr>
      <w:widowControl/>
      <w:pBdr/>
      <w:tabs>
        <w:tab w:val="clear" w:pos="708"/>
        <w:tab w:val="center" w:pos="4536" w:leader="none"/>
        <w:tab w:val="right" w:pos="9072" w:leader="none"/>
      </w:tabs>
      <w:bidi w:val="0"/>
      <w:jc w:val="left"/>
    </w:pPr>
    <w:rPr>
      <w:rFonts w:cs="Arial Unicode MS" w:ascii="Times New Roman" w:hAnsi="Times New Roman" w:eastAsia="Arial Unicode MS"/>
      <w:color w:val="000000"/>
      <w:kern w:val="0"/>
      <w:sz w:val="24"/>
      <w:szCs w:val="24"/>
      <w:u w:val="none" w:color="000000"/>
      <w:lang w:val="pl-PL" w:eastAsia="pl-PL" w:bidi="ar-SA"/>
    </w:rPr>
  </w:style>
  <w:style w:type="paragraph" w:styleId="Domylne" w:customStyle="1">
    <w:name w:val="Domyślne"/>
    <w:qFormat/>
    <w:rsid w:val="00a4335e"/>
    <w:pPr>
      <w:widowControl/>
      <w:pBdr/>
      <w:bidi w:val="0"/>
      <w:jc w:val="left"/>
    </w:pPr>
    <w:rPr>
      <w:rFonts w:ascii="Helvetica Neue" w:hAnsi="Helvetica Neue" w:eastAsia="Helvetica Neue" w:cs="Helvetica Neue"/>
      <w:color w:val="000000"/>
      <w:kern w:val="0"/>
      <w:sz w:val="22"/>
      <w:szCs w:val="22"/>
      <w:lang w:val="pl-PL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0391"/>
    <w:pPr/>
    <w:rPr>
      <w:rFonts w:ascii="Tahoma" w:hAnsi="Tahoma" w:cs="Tahoma"/>
      <w:sz w:val="16"/>
      <w:szCs w:val="16"/>
    </w:rPr>
  </w:style>
  <w:style w:type="paragraph" w:styleId="Style37" w:customStyle="1">
    <w:name w:val="Style37"/>
    <w:basedOn w:val="Normal"/>
    <w:qFormat/>
    <w:rsid w:val="009641a5"/>
    <w:pPr>
      <w:widowControl w:val="false"/>
      <w:pBdr/>
    </w:pPr>
    <w:rPr>
      <w:rFonts w:eastAsia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164234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f509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f509c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a433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LibreOffice/6.2.5.2$Windows_X86_64 LibreOffice_project/1ec314fa52f458adc18c4f025c545a4e8b22c159</Application>
  <Pages>9</Pages>
  <Words>1518</Words>
  <Characters>8919</Characters>
  <CharactersWithSpaces>10107</CharactersWithSpaces>
  <Paragraphs>408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2020-11-03T09:45:00Z</dcterms:created>
  <dc:creator>Szpital</dc:creator>
  <dc:description/>
  <dc:language>pl-PL</dc:language>
  <cp:lastModifiedBy/>
  <cp:lastPrinted>2020-10-23T10:46:00Z</cp:lastPrinted>
  <dcterms:modified xsi:type="dcterms:W3CDTF">2020-11-03T10:58:38Z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